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40B4" w:rsidRDefault="008C0147">
      <w:pPr>
        <w:spacing w:after="0"/>
        <w:rPr>
          <w:lang w:val="en-GB"/>
        </w:rPr>
      </w:pPr>
      <w:bookmarkStart w:id="0" w:name="_GoBack"/>
      <w:bookmarkEnd w:id="0"/>
      <w:r>
        <w:rPr>
          <w:rFonts w:ascii="Calibri" w:eastAsia="Calibri" w:hAnsi="Calibri" w:cs="Calibri"/>
          <w:noProof/>
          <w:position w:val="1"/>
          <w:lang w:val="lv-LV" w:eastAsia="lv-LV"/>
        </w:rPr>
        <w:drawing>
          <wp:inline distT="0" distB="0" distL="0" distR="0">
            <wp:extent cx="2060575" cy="987425"/>
            <wp:effectExtent l="0" t="0" r="0" b="0"/>
            <wp:docPr id="15050" name="Picture 15050"/>
            <wp:cNvGraphicFramePr/>
            <a:graphic xmlns:a="http://schemas.openxmlformats.org/drawingml/2006/main">
              <a:graphicData uri="http://schemas.openxmlformats.org/drawingml/2006/picture">
                <pic:pic xmlns:pic="http://schemas.openxmlformats.org/drawingml/2006/picture">
                  <pic:nvPicPr>
                    <pic:cNvPr id="15050" name="Picture 15050"/>
                    <pic:cNvPicPr/>
                  </pic:nvPicPr>
                  <pic:blipFill>
                    <a:blip r:embed="rId9"/>
                    <a:stretch>
                      <a:fillRect/>
                    </a:stretch>
                  </pic:blipFill>
                  <pic:spPr>
                    <a:xfrm>
                      <a:off x="0" y="0"/>
                      <a:ext cx="2060575" cy="987425"/>
                    </a:xfrm>
                    <a:prstGeom prst="rect">
                      <a:avLst/>
                    </a:prstGeom>
                  </pic:spPr>
                </pic:pic>
              </a:graphicData>
            </a:graphic>
          </wp:inline>
        </w:drawing>
      </w:r>
      <w:r>
        <w:rPr>
          <w:lang w:val="en-GB"/>
        </w:rPr>
        <w:t xml:space="preserve"> </w:t>
      </w:r>
    </w:p>
    <w:p w:rsidR="003540B4" w:rsidRDefault="008C0147">
      <w:pPr>
        <w:spacing w:after="2"/>
        <w:jc w:val="center"/>
        <w:rPr>
          <w:lang w:val="en-GB"/>
        </w:rPr>
      </w:pPr>
      <w:r>
        <w:rPr>
          <w:sz w:val="36"/>
          <w:lang w:val="en-GB"/>
        </w:rPr>
        <w:t xml:space="preserve"> </w:t>
      </w:r>
    </w:p>
    <w:p w:rsidR="003540B4" w:rsidRDefault="008C0147">
      <w:pPr>
        <w:spacing w:after="4"/>
        <w:ind w:left="10" w:right="-15" w:hanging="10"/>
        <w:jc w:val="center"/>
        <w:rPr>
          <w:lang w:val="en-GB"/>
        </w:rPr>
      </w:pPr>
      <w:r>
        <w:rPr>
          <w:sz w:val="36"/>
          <w:lang w:val="en-GB"/>
        </w:rPr>
        <w:t xml:space="preserve">BACHELOR THESIS </w:t>
      </w:r>
    </w:p>
    <w:p w:rsidR="003540B4" w:rsidRDefault="008C0147">
      <w:pPr>
        <w:spacing w:after="5"/>
        <w:jc w:val="center"/>
        <w:rPr>
          <w:lang w:val="en-GB"/>
        </w:rPr>
      </w:pPr>
      <w:r>
        <w:rPr>
          <w:sz w:val="36"/>
          <w:lang w:val="en-GB"/>
        </w:rPr>
        <w:t xml:space="preserve"> </w:t>
      </w:r>
    </w:p>
    <w:p w:rsidR="003540B4" w:rsidRDefault="008C0147">
      <w:pPr>
        <w:spacing w:after="0" w:line="276" w:lineRule="auto"/>
        <w:jc w:val="center"/>
        <w:rPr>
          <w:rFonts w:ascii="Times New Roman" w:eastAsia="Arial" w:hAnsi="Times New Roman" w:cs="Times New Roman"/>
          <w:b/>
          <w:sz w:val="44"/>
          <w:szCs w:val="44"/>
          <w:lang w:val="en-GB" w:eastAsia="ru-RU"/>
        </w:rPr>
      </w:pPr>
      <w:r>
        <w:rPr>
          <w:rFonts w:ascii="Times New Roman" w:eastAsia="Arial" w:hAnsi="Times New Roman" w:cs="Times New Roman"/>
          <w:b/>
          <w:sz w:val="44"/>
          <w:szCs w:val="44"/>
          <w:lang w:val="en-GB" w:eastAsia="ru-RU"/>
        </w:rPr>
        <w:t xml:space="preserve"> </w:t>
      </w:r>
    </w:p>
    <w:p w:rsidR="003540B4" w:rsidRDefault="008C0147">
      <w:pPr>
        <w:spacing w:after="0" w:line="276" w:lineRule="auto"/>
        <w:jc w:val="center"/>
        <w:rPr>
          <w:rFonts w:ascii="Times New Roman" w:eastAsia="Times New Roman" w:hAnsi="Times New Roman" w:cs="Times New Roman"/>
          <w:b/>
          <w:sz w:val="44"/>
          <w:szCs w:val="44"/>
          <w:lang w:val="en-GB" w:eastAsia="ru-RU"/>
        </w:rPr>
      </w:pPr>
      <w:r>
        <w:rPr>
          <w:rFonts w:ascii="Times New Roman" w:eastAsia="Times New Roman" w:hAnsi="Times New Roman" w:cs="Times New Roman"/>
          <w:b/>
          <w:sz w:val="44"/>
          <w:szCs w:val="44"/>
          <w:lang w:val="en-GB" w:eastAsia="ru-RU"/>
        </w:rPr>
        <w:t>Scope of definition of Beneficial Owner in the European Union Anti Money Laundering Directives and Latvian National Laws</w:t>
      </w:r>
    </w:p>
    <w:p w:rsidR="003540B4" w:rsidRDefault="003540B4">
      <w:pPr>
        <w:spacing w:after="77"/>
        <w:jc w:val="center"/>
        <w:rPr>
          <w:rFonts w:eastAsia="Times New Roman" w:cs="Times New Roman"/>
          <w:b/>
          <w:color w:val="A6A6A6"/>
          <w:sz w:val="44"/>
          <w:lang w:val="en-GB"/>
        </w:rPr>
      </w:pPr>
    </w:p>
    <w:p w:rsidR="003540B4" w:rsidRDefault="003540B4">
      <w:pPr>
        <w:spacing w:after="77"/>
        <w:jc w:val="center"/>
        <w:rPr>
          <w:rFonts w:eastAsia="Times New Roman" w:cs="Times New Roman"/>
          <w:b/>
          <w:color w:val="A6A6A6"/>
          <w:sz w:val="44"/>
          <w:lang w:val="en-GB"/>
        </w:rPr>
      </w:pPr>
    </w:p>
    <w:p w:rsidR="003540B4" w:rsidRDefault="003540B4">
      <w:pPr>
        <w:spacing w:after="77"/>
        <w:jc w:val="center"/>
        <w:rPr>
          <w:lang w:val="en-GB"/>
        </w:rPr>
      </w:pPr>
    </w:p>
    <w:p w:rsidR="003540B4" w:rsidRDefault="008C0147">
      <w:pPr>
        <w:spacing w:after="0"/>
        <w:ind w:left="1"/>
        <w:rPr>
          <w:lang w:val="en-GB"/>
        </w:rPr>
      </w:pPr>
      <w:r>
        <w:rPr>
          <w:sz w:val="28"/>
          <w:lang w:val="en-GB"/>
        </w:rPr>
        <w:t xml:space="preserve"> </w:t>
      </w:r>
    </w:p>
    <w:p w:rsidR="003540B4" w:rsidRDefault="008C0147">
      <w:pPr>
        <w:spacing w:after="49"/>
        <w:ind w:left="1"/>
        <w:rPr>
          <w:lang w:val="en-GB"/>
        </w:rPr>
      </w:pPr>
      <w:r>
        <w:rPr>
          <w:sz w:val="28"/>
          <w:lang w:val="en-GB"/>
        </w:rPr>
        <w:t xml:space="preserve"> </w:t>
      </w:r>
      <w:r>
        <w:rPr>
          <w:sz w:val="28"/>
          <w:lang w:val="en-GB"/>
        </w:rPr>
        <w:tab/>
        <w:t xml:space="preserve"> </w:t>
      </w:r>
      <w:r>
        <w:rPr>
          <w:sz w:val="28"/>
          <w:lang w:val="en-GB"/>
        </w:rPr>
        <w:tab/>
        <w:t xml:space="preserve"> </w:t>
      </w:r>
      <w:r>
        <w:rPr>
          <w:sz w:val="28"/>
          <w:lang w:val="en-GB"/>
        </w:rPr>
        <w:tab/>
        <w:t xml:space="preserve"> </w:t>
      </w:r>
      <w:r>
        <w:rPr>
          <w:sz w:val="28"/>
          <w:lang w:val="en-GB"/>
        </w:rPr>
        <w:tab/>
        <w:t xml:space="preserve"> </w:t>
      </w:r>
      <w:r>
        <w:rPr>
          <w:sz w:val="28"/>
          <w:lang w:val="en-GB"/>
        </w:rPr>
        <w:tab/>
        <w:t xml:space="preserve"> </w:t>
      </w:r>
    </w:p>
    <w:p w:rsidR="003540B4" w:rsidRDefault="008C0147">
      <w:pPr>
        <w:spacing w:after="11"/>
        <w:ind w:left="-4" w:right="-15" w:hanging="10"/>
        <w:rPr>
          <w:lang w:val="en-GB"/>
        </w:rPr>
      </w:pPr>
      <w:r>
        <w:rPr>
          <w:sz w:val="28"/>
          <w:lang w:val="en-GB"/>
        </w:rPr>
        <w:t xml:space="preserve">AUTHOR:  </w:t>
      </w:r>
      <w:r>
        <w:rPr>
          <w:sz w:val="28"/>
          <w:lang w:val="en-GB"/>
        </w:rPr>
        <w:tab/>
        <w:t xml:space="preserve"> </w:t>
      </w:r>
      <w:r>
        <w:rPr>
          <w:sz w:val="28"/>
          <w:lang w:val="en-GB"/>
        </w:rPr>
        <w:tab/>
        <w:t xml:space="preserve">Diāna Priede </w:t>
      </w:r>
    </w:p>
    <w:p w:rsidR="003540B4" w:rsidRDefault="008C0147">
      <w:pPr>
        <w:spacing w:after="11"/>
        <w:ind w:left="-4" w:right="-15" w:hanging="10"/>
        <w:rPr>
          <w:lang w:val="en-GB"/>
        </w:rPr>
      </w:pPr>
      <w:r>
        <w:rPr>
          <w:sz w:val="28"/>
          <w:lang w:val="en-GB"/>
        </w:rPr>
        <w:t xml:space="preserve">              </w:t>
      </w:r>
      <w:r w:rsidRPr="008C0147">
        <w:rPr>
          <w:sz w:val="28"/>
          <w:lang w:val="en-GB"/>
        </w:rPr>
        <w:t xml:space="preserve"> </w:t>
      </w:r>
      <w:r>
        <w:rPr>
          <w:sz w:val="28"/>
          <w:lang w:val="en-GB"/>
        </w:rPr>
        <w:t xml:space="preserve">LL.B 2018/2019 year student </w:t>
      </w:r>
    </w:p>
    <w:p w:rsidR="003540B4" w:rsidRDefault="008C0147">
      <w:pPr>
        <w:spacing w:after="11"/>
        <w:ind w:left="-4" w:right="-15" w:hanging="10"/>
        <w:rPr>
          <w:lang w:val="en-GB"/>
        </w:rPr>
      </w:pPr>
      <w:r>
        <w:rPr>
          <w:sz w:val="28"/>
          <w:lang w:val="en-GB"/>
        </w:rPr>
        <w:t xml:space="preserve">               student number B018026 </w:t>
      </w:r>
    </w:p>
    <w:p w:rsidR="003540B4" w:rsidRDefault="008C0147">
      <w:pPr>
        <w:spacing w:after="0"/>
        <w:ind w:left="1"/>
        <w:rPr>
          <w:lang w:val="en-GB"/>
        </w:rPr>
      </w:pPr>
      <w:r>
        <w:rPr>
          <w:sz w:val="28"/>
          <w:lang w:val="en-GB"/>
        </w:rPr>
        <w:t xml:space="preserve"> </w:t>
      </w:r>
    </w:p>
    <w:p w:rsidR="003540B4" w:rsidRDefault="008C0147">
      <w:pPr>
        <w:spacing w:after="43"/>
        <w:ind w:left="1"/>
        <w:rPr>
          <w:lang w:val="en-GB"/>
        </w:rPr>
      </w:pPr>
      <w:r>
        <w:rPr>
          <w:sz w:val="28"/>
          <w:lang w:val="en-GB"/>
        </w:rPr>
        <w:t xml:space="preserve"> </w:t>
      </w:r>
    </w:p>
    <w:p w:rsidR="003540B4" w:rsidRDefault="008C0147">
      <w:pPr>
        <w:spacing w:after="11"/>
        <w:ind w:left="-4" w:right="-15" w:hanging="10"/>
        <w:rPr>
          <w:lang w:val="en-GB"/>
        </w:rPr>
      </w:pPr>
      <w:r>
        <w:rPr>
          <w:sz w:val="28"/>
          <w:lang w:val="en-GB"/>
        </w:rPr>
        <w:t xml:space="preserve">SUPERVISOR: </w:t>
      </w:r>
      <w:r>
        <w:rPr>
          <w:sz w:val="28"/>
          <w:lang w:val="en-GB"/>
        </w:rPr>
        <w:tab/>
        <w:t xml:space="preserve"> </w:t>
      </w:r>
      <w:r>
        <w:rPr>
          <w:sz w:val="28"/>
          <w:lang w:val="en-GB"/>
        </w:rPr>
        <w:tab/>
        <w:t xml:space="preserve"> Inga J</w:t>
      </w:r>
      <w:r>
        <w:rPr>
          <w:sz w:val="28"/>
          <w:lang w:val="lv-LV"/>
        </w:rPr>
        <w:t>ekabsone, Dr.sc.admin.</w:t>
      </w:r>
      <w:r>
        <w:rPr>
          <w:sz w:val="28"/>
          <w:lang w:val="en-GB"/>
        </w:rPr>
        <w:tab/>
        <w:t xml:space="preserve"> </w:t>
      </w:r>
      <w:r>
        <w:rPr>
          <w:sz w:val="28"/>
          <w:lang w:val="en-GB"/>
        </w:rPr>
        <w:tab/>
        <w:t xml:space="preserve"> </w:t>
      </w:r>
    </w:p>
    <w:p w:rsidR="003540B4" w:rsidRDefault="008C0147">
      <w:pPr>
        <w:spacing w:after="0"/>
        <w:ind w:left="1"/>
        <w:rPr>
          <w:lang w:val="en-GB"/>
        </w:rPr>
      </w:pPr>
      <w:r>
        <w:rPr>
          <w:sz w:val="28"/>
          <w:lang w:val="en-GB"/>
        </w:rPr>
        <w:t xml:space="preserve"> </w:t>
      </w:r>
      <w:r>
        <w:rPr>
          <w:sz w:val="28"/>
          <w:lang w:val="en-GB"/>
        </w:rPr>
        <w:tab/>
        <w:t xml:space="preserve"> </w:t>
      </w:r>
      <w:r>
        <w:rPr>
          <w:sz w:val="28"/>
          <w:lang w:val="en-GB"/>
        </w:rPr>
        <w:tab/>
        <w:t xml:space="preserve"> </w:t>
      </w:r>
      <w:r>
        <w:rPr>
          <w:sz w:val="28"/>
          <w:lang w:val="en-GB"/>
        </w:rPr>
        <w:tab/>
        <w:t xml:space="preserve"> </w:t>
      </w:r>
      <w:r>
        <w:rPr>
          <w:sz w:val="28"/>
          <w:lang w:val="en-GB"/>
        </w:rPr>
        <w:tab/>
        <w:t xml:space="preserve"> </w:t>
      </w:r>
      <w:r>
        <w:rPr>
          <w:sz w:val="28"/>
          <w:lang w:val="en-GB"/>
        </w:rPr>
        <w:tab/>
      </w:r>
      <w:r>
        <w:rPr>
          <w:rFonts w:eastAsia="Times New Roman" w:cs="Times New Roman"/>
          <w:i/>
          <w:lang w:val="en-GB"/>
        </w:rPr>
        <w:t xml:space="preserve"> </w:t>
      </w:r>
      <w:r>
        <w:rPr>
          <w:rFonts w:eastAsia="Times New Roman" w:cs="Times New Roman"/>
          <w:i/>
          <w:lang w:val="en-GB"/>
        </w:rPr>
        <w:tab/>
        <w:t xml:space="preserve"> </w:t>
      </w:r>
    </w:p>
    <w:p w:rsidR="003540B4" w:rsidRDefault="008C0147">
      <w:pPr>
        <w:spacing w:after="959"/>
        <w:ind w:left="1"/>
        <w:rPr>
          <w:sz w:val="28"/>
          <w:lang w:val="en-GB"/>
        </w:rPr>
      </w:pPr>
      <w:r>
        <w:rPr>
          <w:sz w:val="28"/>
          <w:lang w:val="en-GB"/>
        </w:rPr>
        <w:t xml:space="preserve"> </w:t>
      </w:r>
    </w:p>
    <w:p w:rsidR="003540B4" w:rsidRDefault="008C0147">
      <w:pPr>
        <w:spacing w:after="11"/>
        <w:ind w:left="-4" w:right="-15" w:hanging="10"/>
        <w:rPr>
          <w:lang w:val="en-GB"/>
        </w:rPr>
      </w:pPr>
      <w:r>
        <w:rPr>
          <w:sz w:val="28"/>
          <w:lang w:val="en-GB"/>
        </w:rPr>
        <w:t xml:space="preserve">DECLARATION OF HONOUR: </w:t>
      </w:r>
    </w:p>
    <w:p w:rsidR="003540B4" w:rsidRDefault="008C0147">
      <w:pPr>
        <w:spacing w:after="118"/>
        <w:rPr>
          <w:lang w:val="en-GB"/>
        </w:rPr>
      </w:pPr>
      <w:r>
        <w:rPr>
          <w:lang w:val="en-GB"/>
        </w:rPr>
        <w:t xml:space="preserve">I declare that this thesis is my own work, and that all references to, or quotations from, the work of others are fully and correctly cited. </w:t>
      </w:r>
    </w:p>
    <w:p w:rsidR="003540B4" w:rsidRDefault="008C0147">
      <w:pPr>
        <w:spacing w:after="45"/>
        <w:ind w:right="105"/>
        <w:jc w:val="right"/>
        <w:rPr>
          <w:lang w:val="en-GB"/>
        </w:rPr>
      </w:pPr>
      <w:r>
        <w:rPr>
          <w:lang w:val="en-GB"/>
        </w:rPr>
        <w:t xml:space="preserve"> </w:t>
      </w:r>
    </w:p>
    <w:p w:rsidR="003540B4" w:rsidRDefault="008C0147">
      <w:pPr>
        <w:spacing w:after="0"/>
        <w:ind w:right="105"/>
        <w:jc w:val="right"/>
      </w:pPr>
      <w:r>
        <w:t xml:space="preserve"> ………………………………….</w:t>
      </w:r>
    </w:p>
    <w:p w:rsidR="003540B4" w:rsidRDefault="003540B4">
      <w:pPr>
        <w:spacing w:after="0"/>
        <w:ind w:right="105"/>
        <w:jc w:val="right"/>
      </w:pPr>
    </w:p>
    <w:p w:rsidR="003540B4" w:rsidRDefault="003540B4">
      <w:pPr>
        <w:spacing w:after="0"/>
        <w:ind w:right="105"/>
        <w:jc w:val="right"/>
      </w:pPr>
    </w:p>
    <w:p w:rsidR="003540B4" w:rsidRDefault="003540B4">
      <w:pPr>
        <w:spacing w:after="0"/>
        <w:ind w:right="105"/>
        <w:jc w:val="right"/>
      </w:pPr>
    </w:p>
    <w:p w:rsidR="003540B4" w:rsidRDefault="003540B4">
      <w:pPr>
        <w:spacing w:after="0"/>
        <w:ind w:right="105"/>
        <w:jc w:val="right"/>
      </w:pPr>
    </w:p>
    <w:p w:rsidR="003540B4" w:rsidRDefault="003540B4">
      <w:pPr>
        <w:spacing w:after="0"/>
        <w:ind w:right="105"/>
        <w:jc w:val="right"/>
      </w:pPr>
    </w:p>
    <w:p w:rsidR="003540B4" w:rsidRDefault="003540B4">
      <w:pPr>
        <w:spacing w:after="0"/>
        <w:ind w:right="105"/>
        <w:jc w:val="right"/>
      </w:pPr>
    </w:p>
    <w:p w:rsidR="003540B4" w:rsidRDefault="008C0147">
      <w:pPr>
        <w:spacing w:after="0"/>
        <w:ind w:right="105"/>
        <w:jc w:val="center"/>
        <w:rPr>
          <w:rFonts w:ascii="Times New Roman" w:hAnsi="Times New Roman" w:cs="Times New Roman"/>
          <w:sz w:val="22"/>
          <w:szCs w:val="22"/>
          <w:lang w:val="en-GB"/>
        </w:rPr>
      </w:pPr>
      <w:r>
        <w:rPr>
          <w:rFonts w:ascii="Times New Roman" w:hAnsi="Times New Roman" w:cs="Times New Roman"/>
          <w:sz w:val="22"/>
          <w:szCs w:val="22"/>
        </w:rPr>
        <w:t>RIGA 202</w:t>
      </w:r>
      <w:r>
        <w:rPr>
          <w:rFonts w:ascii="Times New Roman" w:hAnsi="Times New Roman" w:cs="Times New Roman"/>
          <w:sz w:val="22"/>
          <w:szCs w:val="22"/>
          <w:lang w:val="en-GB"/>
        </w:rPr>
        <w:t>1</w:t>
      </w:r>
    </w:p>
    <w:p w:rsidR="003540B4" w:rsidRDefault="003540B4"/>
    <w:p w:rsidR="003540B4" w:rsidRDefault="003540B4">
      <w:pPr>
        <w:pStyle w:val="Heading10"/>
        <w:rPr>
          <w:rFonts w:ascii="Times New Roman" w:eastAsiaTheme="majorEastAsia" w:hAnsi="Times New Roman" w:cs="Tahoma" w:hint="default"/>
          <w:color w:val="000000" w:themeColor="text1"/>
          <w:szCs w:val="28"/>
          <w:lang w:val="en-GB" w:eastAsia="ru-RU"/>
        </w:rPr>
        <w:sectPr w:rsidR="003540B4">
          <w:pgSz w:w="11906" w:h="16838"/>
          <w:pgMar w:top="1134" w:right="1134" w:bottom="1134" w:left="1701" w:header="709" w:footer="709" w:gutter="0"/>
          <w:pgNumType w:start="1"/>
          <w:cols w:space="720"/>
          <w:docGrid w:linePitch="360"/>
        </w:sectPr>
      </w:pPr>
      <w:bookmarkStart w:id="1" w:name="_Toc890"/>
    </w:p>
    <w:p w:rsidR="003540B4" w:rsidRDefault="008C0147">
      <w:pPr>
        <w:pStyle w:val="Heading10"/>
        <w:numPr>
          <w:ilvl w:val="0"/>
          <w:numId w:val="0"/>
        </w:numPr>
        <w:ind w:left="567"/>
        <w:rPr>
          <w:rFonts w:ascii="Times New Roman" w:eastAsia="Times New Roman" w:hAnsi="Times New Roman" w:cs="Tahoma" w:hint="default"/>
          <w:szCs w:val="24"/>
          <w:lang w:val="en-GB" w:eastAsia="ru-RU"/>
        </w:rPr>
      </w:pPr>
      <w:bookmarkStart w:id="2" w:name="_Toc31109"/>
      <w:r>
        <w:rPr>
          <w:rFonts w:ascii="Times New Roman" w:eastAsia="Times New Roman" w:hAnsi="Times New Roman" w:cs="Tahoma" w:hint="default"/>
          <w:szCs w:val="24"/>
          <w:lang w:val="en-GB" w:eastAsia="ru-RU"/>
        </w:rPr>
        <w:lastRenderedPageBreak/>
        <w:t>Abstract</w:t>
      </w:r>
      <w:bookmarkEnd w:id="2"/>
    </w:p>
    <w:p w:rsidR="003540B4" w:rsidRDefault="008C0147">
      <w:pPr>
        <w:pStyle w:val="RGSLNormal"/>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eastAsia="ru-RU"/>
        </w:rPr>
        <w:t xml:space="preserve">This thesis researches reviews the problem </w:t>
      </w:r>
      <w:r>
        <w:rPr>
          <w:rFonts w:ascii="Times New Roman" w:eastAsia="Times New Roman" w:hAnsi="Times New Roman" w:cs="Times New Roman"/>
          <w:sz w:val="24"/>
          <w:szCs w:val="24"/>
          <w:lang w:val="en-GB" w:eastAsia="ru-RU"/>
        </w:rPr>
        <w:t>that has been defined in the following way “What are the neccesary requirements for a person to be identified as the Beneficial Owner within the scope of Anti Money Laundering Legislation at the European Union legal norms level and in national laws of Latv</w:t>
      </w:r>
      <w:r>
        <w:rPr>
          <w:rFonts w:ascii="Times New Roman" w:eastAsia="Times New Roman" w:hAnsi="Times New Roman" w:cs="Times New Roman"/>
          <w:sz w:val="24"/>
          <w:szCs w:val="24"/>
          <w:lang w:val="en-GB" w:eastAsia="ru-RU"/>
        </w:rPr>
        <w:t>ia”. The author has put forward</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val="en-GB" w:eastAsia="ru-RU"/>
        </w:rPr>
        <w:t>an aim of identification of the characteristics that the natural person has to bear in order to be identified as the beneficial owner under the European Union Anti Money Laundering Directives and Latvian AML legislation. The objectives of the research are:</w:t>
      </w:r>
      <w:r>
        <w:rPr>
          <w:rFonts w:ascii="Times New Roman" w:eastAsia="Times New Roman" w:hAnsi="Times New Roman" w:cs="Times New Roman"/>
          <w:sz w:val="24"/>
          <w:szCs w:val="24"/>
          <w:lang w:val="en-GB" w:eastAsia="ru-RU"/>
        </w:rPr>
        <w:t xml:space="preserve"> </w:t>
      </w:r>
    </w:p>
    <w:p w:rsidR="003540B4" w:rsidRDefault="008C0147">
      <w:pPr>
        <w:pStyle w:val="Heading1"/>
        <w:spacing w:line="300" w:lineRule="exact"/>
        <w:ind w:left="726" w:hanging="363"/>
        <w:jc w:val="both"/>
        <w:rPr>
          <w:rFonts w:ascii="Times New Roman" w:eastAsia="Times New Roman" w:hAnsi="Times New Roman" w:hint="default"/>
          <w:b w:val="0"/>
          <w:bCs w:val="0"/>
          <w:smallCaps w:val="0"/>
          <w:sz w:val="24"/>
          <w:szCs w:val="24"/>
          <w:lang w:val="en-GB" w:eastAsia="ru-RU"/>
        </w:rPr>
      </w:pPr>
      <w:bookmarkStart w:id="3" w:name="_Toc719"/>
      <w:r>
        <w:rPr>
          <w:rFonts w:ascii="Times New Roman" w:eastAsia="Times New Roman" w:hAnsi="Times New Roman" w:hint="default"/>
          <w:b w:val="0"/>
          <w:bCs w:val="0"/>
          <w:smallCaps w:val="0"/>
          <w:sz w:val="24"/>
          <w:szCs w:val="24"/>
          <w:lang w:val="en-GB" w:eastAsia="ru-RU"/>
        </w:rPr>
        <w:t>Study the introduction of the term beneficial owner and its following development within the European Union Anti Money Laundering Legislation.</w:t>
      </w:r>
      <w:bookmarkEnd w:id="3"/>
      <w:r>
        <w:rPr>
          <w:rFonts w:ascii="Times New Roman" w:eastAsia="Times New Roman" w:hAnsi="Times New Roman" w:hint="default"/>
          <w:b w:val="0"/>
          <w:bCs w:val="0"/>
          <w:smallCaps w:val="0"/>
          <w:sz w:val="24"/>
          <w:szCs w:val="24"/>
          <w:lang w:val="en-GB" w:eastAsia="ru-RU"/>
        </w:rPr>
        <w:t xml:space="preserve"> </w:t>
      </w:r>
    </w:p>
    <w:p w:rsidR="003540B4" w:rsidRDefault="008C0147">
      <w:pPr>
        <w:pStyle w:val="Heading1"/>
        <w:spacing w:line="300" w:lineRule="exact"/>
        <w:ind w:left="726" w:hanging="363"/>
        <w:jc w:val="both"/>
        <w:rPr>
          <w:rFonts w:ascii="Times New Roman" w:eastAsia="Times New Roman" w:hAnsi="Times New Roman" w:hint="default"/>
          <w:b w:val="0"/>
          <w:bCs w:val="0"/>
          <w:smallCaps w:val="0"/>
          <w:sz w:val="24"/>
          <w:szCs w:val="24"/>
          <w:lang w:val="en-GB" w:eastAsia="ru-RU"/>
        </w:rPr>
      </w:pPr>
      <w:bookmarkStart w:id="4" w:name="_Toc4357"/>
      <w:r>
        <w:rPr>
          <w:rFonts w:ascii="Times New Roman" w:eastAsia="Times New Roman" w:hAnsi="Times New Roman" w:hint="default"/>
          <w:b w:val="0"/>
          <w:bCs w:val="0"/>
          <w:smallCaps w:val="0"/>
          <w:sz w:val="24"/>
          <w:szCs w:val="24"/>
          <w:lang w:val="en-GB" w:eastAsia="ru-RU"/>
        </w:rPr>
        <w:t>Research the implementation of the European Union definition within the scope of Latvian national Anti Money L</w:t>
      </w:r>
      <w:r>
        <w:rPr>
          <w:rFonts w:ascii="Times New Roman" w:eastAsia="Times New Roman" w:hAnsi="Times New Roman" w:hint="default"/>
          <w:b w:val="0"/>
          <w:bCs w:val="0"/>
          <w:smallCaps w:val="0"/>
          <w:sz w:val="24"/>
          <w:szCs w:val="24"/>
          <w:lang w:val="en-GB" w:eastAsia="ru-RU"/>
        </w:rPr>
        <w:t>aundering legislation.</w:t>
      </w:r>
      <w:bookmarkEnd w:id="4"/>
      <w:r>
        <w:rPr>
          <w:rFonts w:ascii="Times New Roman" w:eastAsia="Times New Roman" w:hAnsi="Times New Roman" w:hint="default"/>
          <w:b w:val="0"/>
          <w:bCs w:val="0"/>
          <w:smallCaps w:val="0"/>
          <w:sz w:val="24"/>
          <w:szCs w:val="24"/>
          <w:lang w:val="en-GB" w:eastAsia="ru-RU"/>
        </w:rPr>
        <w:t xml:space="preserve"> </w:t>
      </w:r>
    </w:p>
    <w:p w:rsidR="003540B4" w:rsidRDefault="008C0147">
      <w:pPr>
        <w:pStyle w:val="Heading1"/>
        <w:spacing w:line="300" w:lineRule="exact"/>
        <w:ind w:left="726" w:hanging="363"/>
        <w:jc w:val="both"/>
        <w:rPr>
          <w:rFonts w:ascii="Times New Roman" w:eastAsia="Times New Roman" w:hAnsi="Times New Roman" w:hint="default"/>
          <w:sz w:val="24"/>
          <w:szCs w:val="24"/>
          <w:lang w:val="en-GB" w:eastAsia="en-US"/>
        </w:rPr>
      </w:pPr>
      <w:bookmarkStart w:id="5" w:name="_Toc12373"/>
      <w:r>
        <w:rPr>
          <w:rFonts w:ascii="Times New Roman" w:eastAsia="Times New Roman" w:hAnsi="Times New Roman" w:hint="default"/>
          <w:b w:val="0"/>
          <w:bCs w:val="0"/>
          <w:smallCaps w:val="0"/>
          <w:sz w:val="24"/>
          <w:szCs w:val="24"/>
          <w:lang w:val="en-GB" w:eastAsia="ru-RU"/>
        </w:rPr>
        <w:t>Identify the specifics of the process of identification of beneficial owner depending on the legal form of business in the Latvian national laws</w:t>
      </w:r>
      <w:bookmarkEnd w:id="5"/>
    </w:p>
    <w:p w:rsidR="003540B4" w:rsidRDefault="008C0147">
      <w:pPr>
        <w:pStyle w:val="RGSLNormal"/>
        <w:jc w:val="both"/>
      </w:pPr>
      <w:r>
        <w:rPr>
          <w:rFonts w:ascii="Times New Roman" w:eastAsia="Times New Roman" w:hAnsi="Times New Roman" w:cs="Times New Roman"/>
          <w:sz w:val="24"/>
          <w:szCs w:val="24"/>
          <w:lang w:val="en-GB" w:eastAsia="en-US"/>
        </w:rPr>
        <w:t xml:space="preserve">Key words: Anti Money Laundering legislation, Beneficial Owner, legal form of business. </w:t>
      </w:r>
      <w:r>
        <w:br w:type="page"/>
      </w:r>
      <w:bookmarkEnd w:id="1"/>
    </w:p>
    <w:p w:rsidR="003540B4" w:rsidRDefault="008C0147">
      <w:pPr>
        <w:pStyle w:val="Heading10"/>
        <w:numPr>
          <w:ilvl w:val="0"/>
          <w:numId w:val="0"/>
        </w:numPr>
        <w:ind w:left="567"/>
        <w:rPr>
          <w:rFonts w:ascii="Times New Roman" w:eastAsia="Times New Roman" w:hAnsi="Times New Roman" w:cs="Tahoma" w:hint="default"/>
          <w:szCs w:val="24"/>
          <w:lang w:val="en-GB" w:eastAsia="ru-RU"/>
        </w:rPr>
      </w:pPr>
      <w:bookmarkStart w:id="6" w:name="_Toc23547"/>
      <w:r>
        <w:rPr>
          <w:rFonts w:ascii="Times New Roman" w:eastAsia="Times New Roman" w:hAnsi="Times New Roman" w:cs="Tahoma" w:hint="default"/>
          <w:szCs w:val="24"/>
          <w:lang w:val="en-GB" w:eastAsia="ru-RU"/>
        </w:rPr>
        <w:lastRenderedPageBreak/>
        <w:t>Summary</w:t>
      </w:r>
      <w:bookmarkEnd w:id="6"/>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In the First section of the thesis- Introduction there are identified research questions and objectives that have to be reviewed and analysed in order to achi</w:t>
      </w:r>
      <w:r>
        <w:rPr>
          <w:rFonts w:ascii="Times New Roman" w:eastAsia="Times New Roman" w:hAnsi="Times New Roman" w:cs="Times New Roman"/>
          <w:sz w:val="24"/>
          <w:szCs w:val="24"/>
          <w:lang w:val="en-GB" w:eastAsia="en-US"/>
        </w:rPr>
        <w:t xml:space="preserve">eve the aim of the thesis- to identify  </w:t>
      </w:r>
      <w:r>
        <w:rPr>
          <w:rFonts w:ascii="Times New Roman" w:eastAsia="Times New Roman" w:hAnsi="Times New Roman" w:cs="Times New Roman"/>
          <w:sz w:val="24"/>
          <w:szCs w:val="24"/>
          <w:lang w:val="en-GB" w:eastAsia="en-US"/>
        </w:rPr>
        <w:t>“What are the neccesary requirements for a person to be identified as the Beneficial Owner within the scope of Anti Money Laundering Legislation at the European Union legal norms level and in national laws of Latvia?</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Primarily, to resolve the </w:t>
      </w:r>
      <w:r>
        <w:rPr>
          <w:rFonts w:ascii="Times New Roman" w:eastAsia="Times New Roman" w:hAnsi="Times New Roman" w:cs="Times New Roman"/>
          <w:sz w:val="24"/>
          <w:szCs w:val="24"/>
          <w:lang w:val="en-GB" w:eastAsia="en-US"/>
        </w:rPr>
        <w:t xml:space="preserve">first </w:t>
      </w:r>
      <w:r>
        <w:rPr>
          <w:rFonts w:ascii="Times New Roman" w:eastAsia="Times New Roman" w:hAnsi="Times New Roman" w:cs="Times New Roman"/>
          <w:sz w:val="24"/>
          <w:szCs w:val="24"/>
          <w:lang w:val="en-GB" w:eastAsia="en-US"/>
        </w:rPr>
        <w:t>research problem put forward in this thesis a brief introduction on the money laundering as the criminal activity and development of the preventative legislation in the European Union is given</w:t>
      </w:r>
      <w:r>
        <w:rPr>
          <w:rFonts w:ascii="Times New Roman" w:eastAsia="Times New Roman" w:hAnsi="Times New Roman" w:cs="Times New Roman"/>
          <w:sz w:val="24"/>
          <w:szCs w:val="24"/>
          <w:lang w:val="en-GB" w:eastAsia="en-US"/>
        </w:rPr>
        <w:t xml:space="preserve"> in the first chapter of the thesis</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Secondly</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en-GB" w:eastAsia="en-US"/>
        </w:rPr>
        <w:t xml:space="preserve"> the definition of the term Beneficial Owner and the development and amendment of such</w:t>
      </w:r>
      <w:r>
        <w:rPr>
          <w:rFonts w:ascii="Times New Roman" w:eastAsia="Times New Roman" w:hAnsi="Times New Roman" w:cs="Times New Roman"/>
          <w:sz w:val="24"/>
          <w:szCs w:val="24"/>
          <w:lang w:val="en-GB" w:eastAsia="en-US"/>
        </w:rPr>
        <w:t xml:space="preserve"> term</w:t>
      </w:r>
      <w:r>
        <w:rPr>
          <w:rFonts w:ascii="Times New Roman" w:eastAsia="Times New Roman" w:hAnsi="Times New Roman" w:cs="Times New Roman"/>
          <w:sz w:val="24"/>
          <w:szCs w:val="24"/>
          <w:lang w:val="en-GB" w:eastAsia="en-US"/>
        </w:rPr>
        <w:t xml:space="preserve"> in the European Anti Money Laundering legislation is reviewed</w:t>
      </w:r>
      <w:r>
        <w:rPr>
          <w:rFonts w:ascii="Times New Roman" w:eastAsia="Times New Roman" w:hAnsi="Times New Roman" w:cs="Times New Roman"/>
          <w:sz w:val="24"/>
          <w:szCs w:val="24"/>
          <w:lang w:val="en-GB" w:eastAsia="en-US"/>
        </w:rPr>
        <w:t xml:space="preserve"> under second chapter of the thesis</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Thirdly, the term </w:t>
      </w:r>
      <w:r>
        <w:rPr>
          <w:rFonts w:ascii="Times New Roman" w:eastAsia="Times New Roman" w:hAnsi="Times New Roman" w:cs="Times New Roman"/>
          <w:sz w:val="24"/>
          <w:szCs w:val="24"/>
          <w:lang w:val="en-GB" w:eastAsia="en-US"/>
        </w:rPr>
        <w:t>beneficial owner is reviewed in the scope of Latvian national Anti money laundering legislation is studied</w:t>
      </w:r>
      <w:r>
        <w:rPr>
          <w:rFonts w:ascii="Times New Roman" w:eastAsia="Times New Roman" w:hAnsi="Times New Roman" w:cs="Times New Roman"/>
          <w:sz w:val="24"/>
          <w:szCs w:val="24"/>
          <w:lang w:val="en-GB" w:eastAsia="en-US"/>
        </w:rPr>
        <w:t xml:space="preserve"> in the following chapter of the thesis as well as additional provisions regarding provision of information to the Enterprise Registry, basis for omis</w:t>
      </w:r>
      <w:r>
        <w:rPr>
          <w:rFonts w:ascii="Times New Roman" w:eastAsia="Times New Roman" w:hAnsi="Times New Roman" w:cs="Times New Roman"/>
          <w:sz w:val="24"/>
          <w:szCs w:val="24"/>
          <w:lang w:val="en-GB" w:eastAsia="en-US"/>
        </w:rPr>
        <w:t>sion from provision of such and the criminal liability for money laundering under national laws are reviewed</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Next there are reviewed articles applicable to beneficial owner identification process depending on the legal form of business in Latvia, as well</w:t>
      </w:r>
      <w:r>
        <w:rPr>
          <w:rFonts w:ascii="Times New Roman" w:eastAsia="Times New Roman" w:hAnsi="Times New Roman" w:cs="Times New Roman"/>
          <w:sz w:val="24"/>
          <w:szCs w:val="24"/>
          <w:lang w:val="en-GB" w:eastAsia="en-US"/>
        </w:rPr>
        <w:t xml:space="preserve"> as what are the aspect that shall be taken into account in the identification process in relation </w:t>
      </w:r>
      <w:r>
        <w:rPr>
          <w:rFonts w:ascii="Times New Roman" w:eastAsia="Times New Roman" w:hAnsi="Times New Roman" w:cs="Times New Roman"/>
          <w:sz w:val="24"/>
          <w:szCs w:val="24"/>
          <w:lang w:val="en-GB" w:eastAsia="en-US"/>
        </w:rPr>
        <w:t xml:space="preserve">to </w:t>
      </w:r>
      <w:r>
        <w:rPr>
          <w:rFonts w:ascii="Times New Roman" w:eastAsia="Times New Roman" w:hAnsi="Times New Roman" w:cs="Times New Roman"/>
          <w:sz w:val="24"/>
          <w:szCs w:val="24"/>
          <w:lang w:val="en-GB" w:eastAsia="en-US"/>
        </w:rPr>
        <w:t>each of the legal forms of business</w:t>
      </w:r>
      <w:r>
        <w:rPr>
          <w:rFonts w:ascii="Times New Roman" w:eastAsia="Times New Roman" w:hAnsi="Times New Roman" w:cs="Times New Roman"/>
          <w:sz w:val="24"/>
          <w:szCs w:val="24"/>
          <w:lang w:val="en-GB" w:eastAsia="en-US"/>
        </w:rPr>
        <w:t xml:space="preserve"> is</w:t>
      </w:r>
      <w:r>
        <w:rPr>
          <w:rFonts w:ascii="Times New Roman" w:eastAsia="Times New Roman" w:hAnsi="Times New Roman" w:cs="Times New Roman"/>
          <w:sz w:val="24"/>
          <w:szCs w:val="24"/>
          <w:lang w:val="en-GB" w:eastAsia="en-US"/>
        </w:rPr>
        <w:t xml:space="preserve"> reviewed</w:t>
      </w:r>
      <w:r>
        <w:rPr>
          <w:rFonts w:ascii="Times New Roman" w:eastAsia="Times New Roman" w:hAnsi="Times New Roman" w:cs="Times New Roman"/>
          <w:sz w:val="24"/>
          <w:szCs w:val="24"/>
          <w:lang w:val="en-GB" w:eastAsia="en-US"/>
        </w:rPr>
        <w:t xml:space="preserve"> in the final chapter of the thesis</w:t>
      </w:r>
      <w:r>
        <w:rPr>
          <w:rFonts w:ascii="Times New Roman" w:eastAsia="Times New Roman" w:hAnsi="Times New Roman" w:cs="Times New Roman"/>
          <w:sz w:val="24"/>
          <w:szCs w:val="24"/>
          <w:lang w:val="en-GB" w:eastAsia="en-US"/>
        </w:rPr>
        <w:t>.</w:t>
      </w:r>
    </w:p>
    <w:p w:rsidR="003540B4" w:rsidRDefault="008C0147">
      <w:pPr>
        <w:pStyle w:val="RGSLNormalwithindentation"/>
        <w:jc w:val="both"/>
      </w:pPr>
      <w:r>
        <w:rPr>
          <w:rFonts w:ascii="Times New Roman" w:eastAsia="Times New Roman" w:hAnsi="Times New Roman" w:cs="Times New Roman"/>
          <w:sz w:val="24"/>
          <w:szCs w:val="24"/>
          <w:lang w:val="en-GB" w:eastAsia="en-US"/>
        </w:rPr>
        <w:t>In the conclusion of the section an overview of the answers found to t</w:t>
      </w:r>
      <w:r>
        <w:rPr>
          <w:rFonts w:ascii="Times New Roman" w:eastAsia="Times New Roman" w:hAnsi="Times New Roman" w:cs="Times New Roman"/>
          <w:sz w:val="24"/>
          <w:szCs w:val="24"/>
          <w:lang w:val="en-GB" w:eastAsia="en-US"/>
        </w:rPr>
        <w:t xml:space="preserve">he put forward in the Introduction section of the thesis research questions, aims and objectives are summarised and reviewed. </w:t>
      </w:r>
      <w:r>
        <w:rPr>
          <w:rFonts w:ascii="Times New Roman" w:eastAsia="Times New Roman" w:hAnsi="Times New Roman" w:cs="Times New Roman"/>
          <w:sz w:val="24"/>
          <w:szCs w:val="24"/>
          <w:lang w:eastAsia="en-US"/>
        </w:rPr>
        <w:br w:type="page"/>
      </w:r>
    </w:p>
    <w:p w:rsidR="003540B4" w:rsidRDefault="008C0147">
      <w:pPr>
        <w:pStyle w:val="TOC1"/>
        <w:tabs>
          <w:tab w:val="right" w:leader="dot" w:pos="9071"/>
        </w:tabs>
        <w:rPr>
          <w:rFonts w:ascii="Times New Roman" w:eastAsia="Times New Roman" w:hAnsi="Times New Roman" w:cs="Tahoma"/>
          <w:b/>
          <w:bCs/>
          <w:smallCaps/>
          <w:sz w:val="28"/>
          <w:szCs w:val="24"/>
          <w:lang w:val="en-GB" w:eastAsia="en-US"/>
        </w:rPr>
      </w:pPr>
      <w:r>
        <w:rPr>
          <w:rFonts w:ascii="Times New Roman" w:eastAsia="Times New Roman" w:hAnsi="Times New Roman" w:cs="Tahoma"/>
          <w:b/>
          <w:bCs/>
          <w:smallCaps/>
          <w:sz w:val="28"/>
          <w:szCs w:val="24"/>
          <w:lang w:val="en-GB" w:eastAsia="en-US"/>
        </w:rPr>
        <w:t>Table of Contents</w:t>
      </w:r>
    </w:p>
    <w:p w:rsidR="003540B4" w:rsidRDefault="008C0147">
      <w:pPr>
        <w:pStyle w:val="TOC1"/>
        <w:tabs>
          <w:tab w:val="right" w:leader="dot" w:pos="9071"/>
        </w:tabs>
      </w:pPr>
      <w:r>
        <w:fldChar w:fldCharType="begin"/>
      </w:r>
      <w:r>
        <w:instrText xml:space="preserve">TOC \o "1-3" \h \u </w:instrText>
      </w:r>
      <w:r>
        <w:fldChar w:fldCharType="separate"/>
      </w:r>
      <w:hyperlink w:anchor="_Toc31109" w:history="1">
        <w:r>
          <w:rPr>
            <w:rFonts w:ascii="Times New Roman" w:eastAsia="Times New Roman" w:hAnsi="Times New Roman" w:cs="Tahoma"/>
            <w:szCs w:val="24"/>
            <w:lang w:val="en-GB" w:eastAsia="ru-RU"/>
          </w:rPr>
          <w:t>Abstract</w:t>
        </w:r>
        <w:r>
          <w:tab/>
        </w:r>
        <w:r>
          <w:fldChar w:fldCharType="begin"/>
        </w:r>
        <w:r>
          <w:instrText xml:space="preserve"> PAGEREF _Toc31109 </w:instrText>
        </w:r>
        <w:r>
          <w:fldChar w:fldCharType="separate"/>
        </w:r>
        <w:r>
          <w:rPr>
            <w:noProof/>
          </w:rPr>
          <w:t>2</w:t>
        </w:r>
        <w:r>
          <w:fldChar w:fldCharType="end"/>
        </w:r>
      </w:hyperlink>
    </w:p>
    <w:p w:rsidR="003540B4" w:rsidRDefault="008C0147">
      <w:pPr>
        <w:pStyle w:val="TOC1"/>
        <w:tabs>
          <w:tab w:val="right" w:leader="dot" w:pos="9071"/>
        </w:tabs>
      </w:pPr>
      <w:hyperlink w:anchor="_Toc23547" w:history="1">
        <w:r>
          <w:rPr>
            <w:rFonts w:ascii="Times New Roman" w:eastAsia="Times New Roman" w:hAnsi="Times New Roman" w:cs="Tahoma"/>
            <w:szCs w:val="24"/>
            <w:lang w:val="en-GB" w:eastAsia="ru-RU"/>
          </w:rPr>
          <w:t>Summary</w:t>
        </w:r>
        <w:r>
          <w:tab/>
        </w:r>
        <w:r>
          <w:fldChar w:fldCharType="begin"/>
        </w:r>
        <w:r>
          <w:instrText xml:space="preserve"> PAGEREF _Toc23547 </w:instrText>
        </w:r>
        <w:r>
          <w:fldChar w:fldCharType="separate"/>
        </w:r>
        <w:r>
          <w:rPr>
            <w:noProof/>
          </w:rPr>
          <w:t>3</w:t>
        </w:r>
        <w:r>
          <w:fldChar w:fldCharType="end"/>
        </w:r>
      </w:hyperlink>
    </w:p>
    <w:p w:rsidR="003540B4" w:rsidRDefault="008C0147">
      <w:pPr>
        <w:pStyle w:val="TOC1"/>
        <w:tabs>
          <w:tab w:val="right" w:leader="dot" w:pos="9071"/>
        </w:tabs>
      </w:pPr>
      <w:hyperlink w:anchor="_Toc17909" w:history="1">
        <w:r>
          <w:rPr>
            <w:rFonts w:ascii="Times New Roman" w:eastAsiaTheme="majorEastAsia" w:hAnsi="Times New Roman" w:cs="Tahoma"/>
            <w:szCs w:val="28"/>
            <w:lang w:val="en-GB" w:eastAsia="ru-RU"/>
          </w:rPr>
          <w:t>List of Abbreviations</w:t>
        </w:r>
        <w:r>
          <w:tab/>
        </w:r>
        <w:r>
          <w:fldChar w:fldCharType="begin"/>
        </w:r>
        <w:r>
          <w:instrText xml:space="preserve"> PAGEREF _Toc17909 </w:instrText>
        </w:r>
        <w:r>
          <w:fldChar w:fldCharType="separate"/>
        </w:r>
        <w:r>
          <w:rPr>
            <w:noProof/>
          </w:rPr>
          <w:t>5</w:t>
        </w:r>
        <w:r>
          <w:fldChar w:fldCharType="end"/>
        </w:r>
      </w:hyperlink>
    </w:p>
    <w:p w:rsidR="003540B4" w:rsidRDefault="008C0147">
      <w:pPr>
        <w:pStyle w:val="TOC1"/>
        <w:tabs>
          <w:tab w:val="right" w:leader="dot" w:pos="9071"/>
        </w:tabs>
      </w:pPr>
      <w:hyperlink w:anchor="_Toc25651" w:history="1">
        <w:r>
          <w:rPr>
            <w:rFonts w:ascii="Times New Roman" w:eastAsiaTheme="majorEastAsia" w:hAnsi="Times New Roman"/>
            <w:lang w:val="en-GB" w:eastAsia="ru-RU"/>
          </w:rPr>
          <w:t>Introduction</w:t>
        </w:r>
        <w:r>
          <w:tab/>
        </w:r>
        <w:r>
          <w:fldChar w:fldCharType="begin"/>
        </w:r>
        <w:r>
          <w:instrText xml:space="preserve"> PAGEREF _Toc25651 </w:instrText>
        </w:r>
        <w:r>
          <w:fldChar w:fldCharType="separate"/>
        </w:r>
        <w:r>
          <w:rPr>
            <w:noProof/>
          </w:rPr>
          <w:t>6</w:t>
        </w:r>
        <w:r>
          <w:fldChar w:fldCharType="end"/>
        </w:r>
      </w:hyperlink>
    </w:p>
    <w:p w:rsidR="003540B4" w:rsidRDefault="008C0147">
      <w:pPr>
        <w:pStyle w:val="TOC1"/>
        <w:tabs>
          <w:tab w:val="right" w:leader="dot" w:pos="9071"/>
        </w:tabs>
      </w:pPr>
      <w:hyperlink w:anchor="_Toc19494" w:history="1">
        <w:r>
          <w:rPr>
            <w:rFonts w:ascii="Times New Roman" w:eastAsiaTheme="majorEastAsia" w:hAnsi="Times New Roman"/>
            <w:lang w:val="en-GB"/>
          </w:rPr>
          <w:t xml:space="preserve">1. Money Laundering as the process and development of the </w:t>
        </w:r>
        <w:r>
          <w:rPr>
            <w:rFonts w:ascii="Times New Roman" w:eastAsiaTheme="majorEastAsia" w:hAnsi="Times New Roman"/>
            <w:lang w:val="en-GB"/>
          </w:rPr>
          <w:t>preventive legislation in the European Union</w:t>
        </w:r>
        <w:r>
          <w:tab/>
        </w:r>
        <w:r>
          <w:fldChar w:fldCharType="begin"/>
        </w:r>
        <w:r>
          <w:instrText xml:space="preserve"> PAGEREF _Toc19494 </w:instrText>
        </w:r>
        <w:r>
          <w:fldChar w:fldCharType="separate"/>
        </w:r>
        <w:r>
          <w:rPr>
            <w:noProof/>
          </w:rPr>
          <w:t>9</w:t>
        </w:r>
        <w:r>
          <w:fldChar w:fldCharType="end"/>
        </w:r>
      </w:hyperlink>
    </w:p>
    <w:p w:rsidR="003540B4" w:rsidRDefault="008C0147">
      <w:pPr>
        <w:pStyle w:val="TOC1"/>
        <w:tabs>
          <w:tab w:val="right" w:leader="dot" w:pos="9071"/>
        </w:tabs>
      </w:pPr>
      <w:hyperlink w:anchor="_Toc1721" w:history="1">
        <w:r>
          <w:rPr>
            <w:rFonts w:ascii="Times New Roman" w:eastAsiaTheme="majorEastAsia" w:hAnsi="Times New Roman"/>
            <w:lang w:val="en-GB"/>
          </w:rPr>
          <w:t xml:space="preserve">1.1. </w:t>
        </w:r>
        <w:r>
          <w:rPr>
            <w:rFonts w:ascii="Times New Roman" w:eastAsiaTheme="majorEastAsia" w:hAnsi="Times New Roman"/>
            <w:lang w:val="en-GB"/>
          </w:rPr>
          <w:t>Historical overview of the</w:t>
        </w:r>
        <w:r>
          <w:rPr>
            <w:rFonts w:ascii="Times New Roman" w:eastAsiaTheme="majorEastAsia" w:hAnsi="Times New Roman"/>
            <w:lang w:val="en-GB"/>
          </w:rPr>
          <w:t xml:space="preserve"> development of the </w:t>
        </w:r>
        <w:r>
          <w:rPr>
            <w:rFonts w:ascii="Times New Roman" w:eastAsiaTheme="majorEastAsia" w:hAnsi="Times New Roman"/>
            <w:lang w:val="en-GB"/>
          </w:rPr>
          <w:t>Money Laundering</w:t>
        </w:r>
        <w:r>
          <w:rPr>
            <w:rFonts w:ascii="Times New Roman" w:eastAsiaTheme="majorEastAsia" w:hAnsi="Times New Roman"/>
            <w:lang w:val="en-GB"/>
          </w:rPr>
          <w:t xml:space="preserve"> process</w:t>
        </w:r>
        <w:r>
          <w:tab/>
        </w:r>
        <w:r>
          <w:fldChar w:fldCharType="begin"/>
        </w:r>
        <w:r>
          <w:instrText xml:space="preserve"> PAGEREF _Toc1721 </w:instrText>
        </w:r>
        <w:r>
          <w:fldChar w:fldCharType="separate"/>
        </w:r>
        <w:r>
          <w:rPr>
            <w:noProof/>
          </w:rPr>
          <w:t>9</w:t>
        </w:r>
        <w:r>
          <w:fldChar w:fldCharType="end"/>
        </w:r>
      </w:hyperlink>
    </w:p>
    <w:p w:rsidR="003540B4" w:rsidRDefault="008C0147">
      <w:pPr>
        <w:pStyle w:val="TOC1"/>
        <w:tabs>
          <w:tab w:val="right" w:leader="dot" w:pos="9071"/>
        </w:tabs>
      </w:pPr>
      <w:hyperlink w:anchor="_Toc4202" w:history="1">
        <w:r>
          <w:rPr>
            <w:rFonts w:ascii="Times New Roman" w:eastAsiaTheme="majorEastAsia" w:hAnsi="Times New Roman"/>
            <w:lang w:val="en-GB"/>
          </w:rPr>
          <w:t xml:space="preserve">1.2. </w:t>
        </w:r>
        <w:r>
          <w:rPr>
            <w:rFonts w:ascii="Times New Roman" w:eastAsiaTheme="majorEastAsia" w:hAnsi="Times New Roman"/>
            <w:lang w:val="en-GB"/>
          </w:rPr>
          <w:t xml:space="preserve">Overview of the development of </w:t>
        </w:r>
        <w:r>
          <w:rPr>
            <w:rFonts w:ascii="Times New Roman" w:eastAsiaTheme="majorEastAsia" w:hAnsi="Times New Roman"/>
            <w:lang w:val="en-GB"/>
          </w:rPr>
          <w:t>Anti Money Laundering Legislation in the European Union</w:t>
        </w:r>
        <w:r>
          <w:tab/>
        </w:r>
        <w:r>
          <w:fldChar w:fldCharType="begin"/>
        </w:r>
        <w:r>
          <w:instrText xml:space="preserve"> PAGEREF _Toc4202 </w:instrText>
        </w:r>
        <w:r>
          <w:fldChar w:fldCharType="separate"/>
        </w:r>
        <w:r>
          <w:rPr>
            <w:noProof/>
          </w:rPr>
          <w:t>10</w:t>
        </w:r>
        <w:r>
          <w:fldChar w:fldCharType="end"/>
        </w:r>
      </w:hyperlink>
    </w:p>
    <w:p w:rsidR="003540B4" w:rsidRDefault="008C0147">
      <w:pPr>
        <w:pStyle w:val="TOC1"/>
        <w:tabs>
          <w:tab w:val="right" w:leader="dot" w:pos="9071"/>
        </w:tabs>
      </w:pPr>
      <w:hyperlink w:anchor="_Toc21769" w:history="1">
        <w:r>
          <w:rPr>
            <w:rFonts w:ascii="Times New Roman" w:eastAsiaTheme="majorEastAsia" w:hAnsi="Times New Roman"/>
            <w:lang w:val="en-GB" w:eastAsia="ru-RU"/>
          </w:rPr>
          <w:t xml:space="preserve">2. Definition of “Beneficial Owner” in </w:t>
        </w:r>
        <w:r>
          <w:rPr>
            <w:rFonts w:ascii="Times New Roman" w:eastAsiaTheme="majorEastAsia" w:hAnsi="Times New Roman"/>
            <w:lang w:val="en-GB" w:eastAsia="ru-RU"/>
          </w:rPr>
          <w:t xml:space="preserve">the </w:t>
        </w:r>
        <w:r>
          <w:rPr>
            <w:rFonts w:ascii="Times New Roman" w:eastAsiaTheme="majorEastAsia" w:hAnsi="Times New Roman"/>
            <w:lang w:val="en-GB" w:eastAsia="ru-RU"/>
          </w:rPr>
          <w:t>European Union Legislation</w:t>
        </w:r>
        <w:r>
          <w:tab/>
        </w:r>
        <w:r>
          <w:fldChar w:fldCharType="begin"/>
        </w:r>
        <w:r>
          <w:instrText xml:space="preserve"> PAGEREF _Toc21769 </w:instrText>
        </w:r>
        <w:r>
          <w:fldChar w:fldCharType="separate"/>
        </w:r>
        <w:r>
          <w:rPr>
            <w:noProof/>
          </w:rPr>
          <w:t>14</w:t>
        </w:r>
        <w:r>
          <w:fldChar w:fldCharType="end"/>
        </w:r>
      </w:hyperlink>
    </w:p>
    <w:p w:rsidR="003540B4" w:rsidRDefault="008C0147">
      <w:pPr>
        <w:pStyle w:val="TOC1"/>
        <w:tabs>
          <w:tab w:val="right" w:leader="dot" w:pos="9071"/>
        </w:tabs>
      </w:pPr>
      <w:hyperlink w:anchor="_Toc30796" w:history="1">
        <w:r>
          <w:rPr>
            <w:rFonts w:ascii="Times New Roman" w:eastAsiaTheme="majorEastAsia" w:hAnsi="Times New Roman"/>
            <w:lang w:val="en-GB" w:eastAsia="ru-RU"/>
          </w:rPr>
          <w:t>2.1. Historical Development</w:t>
        </w:r>
        <w:r>
          <w:rPr>
            <w:rFonts w:ascii="Times New Roman" w:eastAsiaTheme="majorEastAsia" w:hAnsi="Times New Roman"/>
            <w:lang w:val="en-GB" w:eastAsia="ru-RU"/>
          </w:rPr>
          <w:t xml:space="preserve"> of the D</w:t>
        </w:r>
        <w:r>
          <w:rPr>
            <w:rFonts w:ascii="Times New Roman" w:eastAsiaTheme="majorEastAsia" w:hAnsi="Times New Roman"/>
            <w:lang w:val="en-GB" w:eastAsia="ru-RU"/>
          </w:rPr>
          <w:t xml:space="preserve">efinition </w:t>
        </w:r>
        <w:r>
          <w:rPr>
            <w:rFonts w:ascii="Times New Roman" w:eastAsiaTheme="majorEastAsia" w:hAnsi="Times New Roman"/>
            <w:lang w:val="en-GB" w:eastAsia="ru-RU"/>
          </w:rPr>
          <w:t xml:space="preserve">to the term Beneficial Owner </w:t>
        </w:r>
        <w:r>
          <w:rPr>
            <w:rFonts w:ascii="Times New Roman" w:eastAsiaTheme="majorEastAsia" w:hAnsi="Times New Roman"/>
            <w:lang w:val="en-GB" w:eastAsia="ru-RU"/>
          </w:rPr>
          <w:t>within the scope of EU Directives</w:t>
        </w:r>
        <w:r>
          <w:tab/>
        </w:r>
        <w:r>
          <w:fldChar w:fldCharType="begin"/>
        </w:r>
        <w:r>
          <w:instrText xml:space="preserve"> PAGEREF _Toc30796 </w:instrText>
        </w:r>
        <w:r>
          <w:fldChar w:fldCharType="separate"/>
        </w:r>
        <w:r>
          <w:rPr>
            <w:noProof/>
          </w:rPr>
          <w:t>14</w:t>
        </w:r>
        <w:r>
          <w:fldChar w:fldCharType="end"/>
        </w:r>
      </w:hyperlink>
    </w:p>
    <w:p w:rsidR="003540B4" w:rsidRDefault="008C0147">
      <w:pPr>
        <w:pStyle w:val="TOC1"/>
        <w:tabs>
          <w:tab w:val="right" w:leader="dot" w:pos="9071"/>
        </w:tabs>
      </w:pPr>
      <w:hyperlink w:anchor="_Toc14481" w:history="1">
        <w:r>
          <w:rPr>
            <w:rFonts w:ascii="Times New Roman" w:eastAsiaTheme="majorEastAsia" w:hAnsi="Times New Roman"/>
            <w:lang w:val="en-GB" w:eastAsia="ru-RU"/>
          </w:rPr>
          <w:t xml:space="preserve">3. </w:t>
        </w:r>
        <w:r>
          <w:rPr>
            <w:rFonts w:ascii="Times New Roman" w:eastAsiaTheme="majorEastAsia" w:hAnsi="Times New Roman"/>
            <w:lang w:val="en-GB" w:eastAsia="ru-RU"/>
          </w:rPr>
          <w:t>Latvian</w:t>
        </w:r>
        <w:r>
          <w:rPr>
            <w:rFonts w:ascii="Times New Roman" w:eastAsiaTheme="majorEastAsia" w:hAnsi="Times New Roman"/>
            <w:lang w:val="en-GB" w:eastAsia="ru-RU"/>
          </w:rPr>
          <w:t xml:space="preserve"> national</w:t>
        </w:r>
        <w:r>
          <w:rPr>
            <w:rFonts w:ascii="Times New Roman" w:eastAsiaTheme="majorEastAsia" w:hAnsi="Times New Roman"/>
            <w:lang w:val="en-GB" w:eastAsia="ru-RU"/>
          </w:rPr>
          <w:t xml:space="preserve"> </w:t>
        </w:r>
        <w:r>
          <w:rPr>
            <w:rFonts w:ascii="Times New Roman" w:eastAsiaTheme="majorEastAsia" w:hAnsi="Times New Roman"/>
            <w:lang w:val="en-GB" w:eastAsia="ru-RU"/>
          </w:rPr>
          <w:t xml:space="preserve">Anti Money Laundering </w:t>
        </w:r>
        <w:r>
          <w:rPr>
            <w:rFonts w:ascii="Times New Roman" w:eastAsiaTheme="majorEastAsia" w:hAnsi="Times New Roman"/>
            <w:lang w:val="en-GB" w:eastAsia="ru-RU"/>
          </w:rPr>
          <w:t xml:space="preserve">Legislation </w:t>
        </w:r>
        <w:r>
          <w:rPr>
            <w:rFonts w:ascii="Times New Roman" w:eastAsiaTheme="majorEastAsia" w:hAnsi="Times New Roman"/>
            <w:lang w:val="en-GB" w:eastAsia="ru-RU"/>
          </w:rPr>
          <w:t>and the Definition of the term “Beneficial owner” in it</w:t>
        </w:r>
        <w:r>
          <w:tab/>
        </w:r>
        <w:r>
          <w:fldChar w:fldCharType="begin"/>
        </w:r>
        <w:r>
          <w:instrText xml:space="preserve"> PAGEREF _To</w:instrText>
        </w:r>
        <w:r>
          <w:instrText xml:space="preserve">c14481 </w:instrText>
        </w:r>
        <w:r>
          <w:fldChar w:fldCharType="separate"/>
        </w:r>
        <w:r>
          <w:rPr>
            <w:noProof/>
          </w:rPr>
          <w:t>22</w:t>
        </w:r>
        <w:r>
          <w:fldChar w:fldCharType="end"/>
        </w:r>
      </w:hyperlink>
    </w:p>
    <w:p w:rsidR="003540B4" w:rsidRDefault="008C0147">
      <w:pPr>
        <w:pStyle w:val="TOC1"/>
        <w:tabs>
          <w:tab w:val="right" w:leader="dot" w:pos="9071"/>
        </w:tabs>
      </w:pPr>
      <w:hyperlink w:anchor="_Toc16711" w:history="1">
        <w:r>
          <w:rPr>
            <w:rFonts w:ascii="Times New Roman" w:eastAsiaTheme="majorEastAsia" w:hAnsi="Times New Roman"/>
            <w:lang w:val="lv-LV" w:eastAsia="ru-RU"/>
          </w:rPr>
          <w:t>3.1.</w:t>
        </w:r>
        <w:r>
          <w:rPr>
            <w:rFonts w:ascii="Times New Roman" w:eastAsiaTheme="majorEastAsia" w:hAnsi="Times New Roman"/>
            <w:lang w:val="en-GB" w:eastAsia="ru-RU"/>
          </w:rPr>
          <w:t xml:space="preserve">Definition of the </w:t>
        </w:r>
        <w:r>
          <w:rPr>
            <w:rFonts w:ascii="Times New Roman" w:eastAsiaTheme="majorEastAsia" w:hAnsi="Times New Roman"/>
            <w:lang w:val="en-GB" w:eastAsia="ru-RU"/>
          </w:rPr>
          <w:t>Term “Beneficial Owner” in Latvian national legislation</w:t>
        </w:r>
        <w:r>
          <w:tab/>
        </w:r>
        <w:r>
          <w:fldChar w:fldCharType="begin"/>
        </w:r>
        <w:r>
          <w:instrText xml:space="preserve"> PAGEREF _Toc16711 </w:instrText>
        </w:r>
        <w:r>
          <w:fldChar w:fldCharType="separate"/>
        </w:r>
        <w:r>
          <w:rPr>
            <w:noProof/>
          </w:rPr>
          <w:t>23</w:t>
        </w:r>
        <w:r>
          <w:fldChar w:fldCharType="end"/>
        </w:r>
      </w:hyperlink>
    </w:p>
    <w:p w:rsidR="003540B4" w:rsidRDefault="008C0147">
      <w:pPr>
        <w:pStyle w:val="TOC1"/>
        <w:tabs>
          <w:tab w:val="right" w:leader="dot" w:pos="9071"/>
        </w:tabs>
      </w:pPr>
      <w:hyperlink w:anchor="_Toc13189" w:history="1">
        <w:r>
          <w:rPr>
            <w:rFonts w:ascii="Times New Roman" w:eastAsiaTheme="majorEastAsia" w:hAnsi="Times New Roman"/>
            <w:lang w:val="lv-LV" w:eastAsia="ru-RU"/>
          </w:rPr>
          <w:t>3.2.</w:t>
        </w:r>
        <w:r>
          <w:rPr>
            <w:rFonts w:ascii="Times New Roman" w:eastAsiaTheme="majorEastAsia" w:hAnsi="Times New Roman"/>
            <w:lang w:val="en-GB" w:eastAsia="ru-RU"/>
          </w:rPr>
          <w:t>Mandatory Registration of Beneficial Owners in the Enterprise Registry.</w:t>
        </w:r>
        <w:r>
          <w:tab/>
        </w:r>
        <w:r>
          <w:fldChar w:fldCharType="begin"/>
        </w:r>
        <w:r>
          <w:instrText xml:space="preserve"> PAGEREF _</w:instrText>
        </w:r>
        <w:r>
          <w:instrText xml:space="preserve">Toc13189 </w:instrText>
        </w:r>
        <w:r>
          <w:fldChar w:fldCharType="separate"/>
        </w:r>
        <w:r>
          <w:rPr>
            <w:noProof/>
          </w:rPr>
          <w:t>25</w:t>
        </w:r>
        <w:r>
          <w:fldChar w:fldCharType="end"/>
        </w:r>
      </w:hyperlink>
    </w:p>
    <w:p w:rsidR="003540B4" w:rsidRDefault="008C0147">
      <w:pPr>
        <w:pStyle w:val="TOC1"/>
        <w:tabs>
          <w:tab w:val="right" w:leader="dot" w:pos="9071"/>
        </w:tabs>
      </w:pPr>
      <w:hyperlink w:anchor="_Toc15579" w:history="1">
        <w:r>
          <w:rPr>
            <w:rFonts w:ascii="Times New Roman" w:eastAsiaTheme="majorEastAsia" w:hAnsi="Times New Roman"/>
            <w:lang w:val="lv-LV" w:eastAsia="ru-RU"/>
          </w:rPr>
          <w:t>3.3.</w:t>
        </w:r>
        <w:r>
          <w:rPr>
            <w:rFonts w:ascii="Times New Roman" w:eastAsiaTheme="majorEastAsia" w:hAnsi="Times New Roman"/>
            <w:lang w:val="en-GB" w:eastAsia="ru-RU"/>
          </w:rPr>
          <w:t>Basis for omission of submission of information on the beneficial owner of legal person or arrangement</w:t>
        </w:r>
        <w:r>
          <w:tab/>
        </w:r>
        <w:r>
          <w:fldChar w:fldCharType="begin"/>
        </w:r>
        <w:r>
          <w:instrText xml:space="preserve"> PAGEREF _Toc15579 </w:instrText>
        </w:r>
        <w:r>
          <w:fldChar w:fldCharType="separate"/>
        </w:r>
        <w:r>
          <w:rPr>
            <w:noProof/>
          </w:rPr>
          <w:t>26</w:t>
        </w:r>
        <w:r>
          <w:fldChar w:fldCharType="end"/>
        </w:r>
      </w:hyperlink>
    </w:p>
    <w:p w:rsidR="003540B4" w:rsidRDefault="008C0147">
      <w:pPr>
        <w:pStyle w:val="TOC1"/>
        <w:tabs>
          <w:tab w:val="right" w:leader="dot" w:pos="9071"/>
        </w:tabs>
      </w:pPr>
      <w:hyperlink w:anchor="_Toc12567" w:history="1">
        <w:r>
          <w:rPr>
            <w:rFonts w:ascii="Times New Roman" w:eastAsiaTheme="majorEastAsia" w:hAnsi="Times New Roman"/>
            <w:lang w:val="lv-LV" w:eastAsia="ru-RU"/>
          </w:rPr>
          <w:t>3.4.</w:t>
        </w:r>
        <w:r>
          <w:rPr>
            <w:rFonts w:ascii="Times New Roman" w:eastAsiaTheme="majorEastAsia" w:hAnsi="Times New Roman"/>
            <w:lang w:val="en-GB" w:eastAsia="ru-RU"/>
          </w:rPr>
          <w:t xml:space="preserve">Natural person as a subject of the Criminal law </w:t>
        </w:r>
        <w:r>
          <w:rPr>
            <w:rFonts w:ascii="Times New Roman" w:eastAsiaTheme="majorEastAsia" w:hAnsi="Times New Roman"/>
            <w:lang w:val="lv-LV" w:eastAsia="ru-RU"/>
          </w:rPr>
          <w:t xml:space="preserve">of </w:t>
        </w:r>
        <w:r>
          <w:rPr>
            <w:rFonts w:ascii="Times New Roman" w:eastAsiaTheme="majorEastAsia" w:hAnsi="Times New Roman"/>
            <w:lang w:val="lv-LV" w:eastAsia="ru-RU"/>
          </w:rPr>
          <w:t>Latvia</w:t>
        </w:r>
        <w:r>
          <w:tab/>
        </w:r>
        <w:r>
          <w:fldChar w:fldCharType="begin"/>
        </w:r>
        <w:r>
          <w:instrText xml:space="preserve"> PAGEREF _Toc12567 </w:instrText>
        </w:r>
        <w:r>
          <w:fldChar w:fldCharType="separate"/>
        </w:r>
        <w:r>
          <w:rPr>
            <w:noProof/>
          </w:rPr>
          <w:t>27</w:t>
        </w:r>
        <w:r>
          <w:fldChar w:fldCharType="end"/>
        </w:r>
      </w:hyperlink>
    </w:p>
    <w:p w:rsidR="003540B4" w:rsidRDefault="008C0147">
      <w:pPr>
        <w:pStyle w:val="TOC1"/>
        <w:tabs>
          <w:tab w:val="right" w:leader="dot" w:pos="9071"/>
        </w:tabs>
      </w:pPr>
      <w:hyperlink w:anchor="_Toc21086" w:history="1">
        <w:r>
          <w:rPr>
            <w:rFonts w:ascii="Times New Roman" w:eastAsiaTheme="majorEastAsia" w:hAnsi="Times New Roman"/>
            <w:lang w:val="lv-LV" w:eastAsia="ru-RU"/>
          </w:rPr>
          <w:t>4</w:t>
        </w:r>
        <w:r>
          <w:rPr>
            <w:rFonts w:ascii="Times New Roman" w:eastAsiaTheme="majorEastAsia" w:hAnsi="Times New Roman"/>
            <w:lang w:val="en-GB" w:eastAsia="ru-RU"/>
          </w:rPr>
          <w:t>.Beneficial owner identification process in the scope of legal form of business</w:t>
        </w:r>
        <w:r>
          <w:tab/>
        </w:r>
        <w:r>
          <w:fldChar w:fldCharType="begin"/>
        </w:r>
        <w:r>
          <w:instrText xml:space="preserve"> PAGEREF _Toc21086 </w:instrText>
        </w:r>
        <w:r>
          <w:fldChar w:fldCharType="separate"/>
        </w:r>
        <w:r>
          <w:rPr>
            <w:noProof/>
          </w:rPr>
          <w:t>29</w:t>
        </w:r>
        <w:r>
          <w:fldChar w:fldCharType="end"/>
        </w:r>
      </w:hyperlink>
    </w:p>
    <w:p w:rsidR="003540B4" w:rsidRDefault="008C0147">
      <w:pPr>
        <w:pStyle w:val="TOC1"/>
        <w:tabs>
          <w:tab w:val="right" w:leader="dot" w:pos="9071"/>
        </w:tabs>
      </w:pPr>
      <w:hyperlink w:anchor="_Toc10373" w:history="1">
        <w:r>
          <w:rPr>
            <w:rFonts w:ascii="Times New Roman" w:eastAsiaTheme="majorEastAsia" w:hAnsi="Times New Roman"/>
            <w:lang w:val="lv-LV" w:eastAsia="ru-RU"/>
          </w:rPr>
          <w:t>4.1.</w:t>
        </w:r>
        <w:r>
          <w:rPr>
            <w:rFonts w:ascii="Times New Roman" w:eastAsiaTheme="majorEastAsia" w:hAnsi="Times New Roman"/>
            <w:lang w:val="en-GB" w:eastAsia="ru-RU"/>
          </w:rPr>
          <w:t xml:space="preserve"> Capital Company</w:t>
        </w:r>
        <w:r>
          <w:tab/>
        </w:r>
        <w:r>
          <w:fldChar w:fldCharType="begin"/>
        </w:r>
        <w:r>
          <w:instrText xml:space="preserve"> PAGEREF _Toc10373 </w:instrText>
        </w:r>
        <w:r>
          <w:fldChar w:fldCharType="separate"/>
        </w:r>
        <w:r>
          <w:rPr>
            <w:noProof/>
          </w:rPr>
          <w:t>29</w:t>
        </w:r>
        <w:r>
          <w:fldChar w:fldCharType="end"/>
        </w:r>
      </w:hyperlink>
    </w:p>
    <w:p w:rsidR="003540B4" w:rsidRDefault="008C0147">
      <w:pPr>
        <w:pStyle w:val="TOC1"/>
        <w:tabs>
          <w:tab w:val="right" w:leader="dot" w:pos="9071"/>
        </w:tabs>
      </w:pPr>
      <w:hyperlink w:anchor="_Toc7246" w:history="1">
        <w:r>
          <w:rPr>
            <w:rFonts w:ascii="Times New Roman" w:eastAsiaTheme="majorEastAsia" w:hAnsi="Times New Roman"/>
            <w:lang w:val="lv-LV" w:eastAsia="ru-RU"/>
          </w:rPr>
          <w:t>4.2.</w:t>
        </w:r>
        <w:r>
          <w:rPr>
            <w:rFonts w:ascii="Times New Roman" w:eastAsiaTheme="majorEastAsia" w:hAnsi="Times New Roman"/>
            <w:lang w:val="en-GB" w:eastAsia="ru-RU"/>
          </w:rPr>
          <w:t xml:space="preserve"> </w:t>
        </w:r>
        <w:r>
          <w:rPr>
            <w:rFonts w:ascii="Times New Roman" w:eastAsiaTheme="majorEastAsia" w:hAnsi="Times New Roman"/>
            <w:lang w:val="lv-LV" w:eastAsia="ru-RU"/>
          </w:rPr>
          <w:t>P</w:t>
        </w:r>
        <w:r>
          <w:rPr>
            <w:rFonts w:ascii="Times New Roman" w:eastAsiaTheme="majorEastAsia" w:hAnsi="Times New Roman"/>
            <w:lang w:val="en-GB" w:eastAsia="ru-RU"/>
          </w:rPr>
          <w:t>ublic person or derived public person</w:t>
        </w:r>
        <w:r>
          <w:tab/>
        </w:r>
        <w:r>
          <w:fldChar w:fldCharType="begin"/>
        </w:r>
        <w:r>
          <w:instrText xml:space="preserve"> PAGEREF _Toc7246 </w:instrText>
        </w:r>
        <w:r>
          <w:fldChar w:fldCharType="separate"/>
        </w:r>
        <w:r>
          <w:rPr>
            <w:noProof/>
          </w:rPr>
          <w:t>31</w:t>
        </w:r>
        <w:r>
          <w:fldChar w:fldCharType="end"/>
        </w:r>
      </w:hyperlink>
    </w:p>
    <w:p w:rsidR="003540B4" w:rsidRDefault="008C0147">
      <w:pPr>
        <w:pStyle w:val="TOC1"/>
        <w:tabs>
          <w:tab w:val="right" w:leader="dot" w:pos="9071"/>
        </w:tabs>
      </w:pPr>
      <w:hyperlink w:anchor="_Toc25899" w:history="1">
        <w:r>
          <w:rPr>
            <w:rFonts w:ascii="Times New Roman" w:eastAsiaTheme="majorEastAsia" w:hAnsi="Times New Roman"/>
            <w:lang w:val="lv-LV" w:eastAsia="ru-RU"/>
          </w:rPr>
          <w:t>4.3.</w:t>
        </w:r>
        <w:r>
          <w:rPr>
            <w:rFonts w:ascii="Times New Roman" w:eastAsiaTheme="majorEastAsia" w:hAnsi="Times New Roman"/>
            <w:lang w:val="en-GB" w:eastAsia="ru-RU"/>
          </w:rPr>
          <w:t xml:space="preserve"> Co-operative society</w:t>
        </w:r>
        <w:r>
          <w:tab/>
        </w:r>
        <w:r>
          <w:fldChar w:fldCharType="begin"/>
        </w:r>
        <w:r>
          <w:instrText xml:space="preserve"> PAGEREF _Toc25899 </w:instrText>
        </w:r>
        <w:r>
          <w:fldChar w:fldCharType="separate"/>
        </w:r>
        <w:r>
          <w:rPr>
            <w:noProof/>
          </w:rPr>
          <w:t>31</w:t>
        </w:r>
        <w:r>
          <w:fldChar w:fldCharType="end"/>
        </w:r>
      </w:hyperlink>
    </w:p>
    <w:p w:rsidR="003540B4" w:rsidRDefault="008C0147">
      <w:pPr>
        <w:pStyle w:val="TOC1"/>
        <w:tabs>
          <w:tab w:val="right" w:leader="dot" w:pos="9071"/>
        </w:tabs>
      </w:pPr>
      <w:hyperlink w:anchor="_Toc24292" w:history="1">
        <w:r>
          <w:rPr>
            <w:rFonts w:ascii="Times New Roman" w:eastAsiaTheme="majorEastAsia" w:hAnsi="Times New Roman"/>
            <w:lang w:val="lv-LV" w:eastAsia="ru-RU"/>
          </w:rPr>
          <w:t>4.</w:t>
        </w:r>
        <w:r>
          <w:rPr>
            <w:rFonts w:ascii="Times New Roman" w:eastAsiaTheme="majorEastAsia" w:hAnsi="Times New Roman"/>
            <w:lang w:val="en-GB" w:eastAsia="ru-RU"/>
          </w:rPr>
          <w:t>4</w:t>
        </w:r>
        <w:r>
          <w:rPr>
            <w:rFonts w:ascii="Times New Roman" w:eastAsiaTheme="majorEastAsia" w:hAnsi="Times New Roman"/>
            <w:lang w:val="lv-LV" w:eastAsia="ru-RU"/>
          </w:rPr>
          <w:t>.</w:t>
        </w:r>
        <w:r>
          <w:rPr>
            <w:rFonts w:ascii="Times New Roman" w:eastAsiaTheme="majorEastAsia" w:hAnsi="Times New Roman"/>
            <w:lang w:val="en-GB" w:eastAsia="ru-RU"/>
          </w:rPr>
          <w:t xml:space="preserve"> General Partnership and Limited partnership</w:t>
        </w:r>
        <w:r>
          <w:tab/>
        </w:r>
        <w:r>
          <w:fldChar w:fldCharType="begin"/>
        </w:r>
        <w:r>
          <w:instrText xml:space="preserve"> PAGEREF _T</w:instrText>
        </w:r>
        <w:r>
          <w:instrText xml:space="preserve">oc24292 </w:instrText>
        </w:r>
        <w:r>
          <w:fldChar w:fldCharType="separate"/>
        </w:r>
        <w:r>
          <w:rPr>
            <w:noProof/>
          </w:rPr>
          <w:t>32</w:t>
        </w:r>
        <w:r>
          <w:fldChar w:fldCharType="end"/>
        </w:r>
      </w:hyperlink>
    </w:p>
    <w:p w:rsidR="003540B4" w:rsidRDefault="008C0147">
      <w:pPr>
        <w:pStyle w:val="TOC1"/>
        <w:tabs>
          <w:tab w:val="right" w:leader="dot" w:pos="9071"/>
        </w:tabs>
      </w:pPr>
      <w:hyperlink w:anchor="_Toc10271" w:history="1">
        <w:r>
          <w:rPr>
            <w:rFonts w:ascii="Times New Roman" w:eastAsiaTheme="majorEastAsia" w:hAnsi="Times New Roman"/>
            <w:lang w:val="lv-LV" w:eastAsia="ru-RU"/>
          </w:rPr>
          <w:t>4.</w:t>
        </w:r>
        <w:r>
          <w:rPr>
            <w:rFonts w:ascii="Times New Roman" w:eastAsiaTheme="majorEastAsia" w:hAnsi="Times New Roman"/>
            <w:lang w:val="en-GB" w:eastAsia="ru-RU"/>
          </w:rPr>
          <w:t>5</w:t>
        </w:r>
        <w:r>
          <w:rPr>
            <w:rFonts w:ascii="Times New Roman" w:eastAsiaTheme="majorEastAsia" w:hAnsi="Times New Roman"/>
            <w:lang w:val="lv-LV" w:eastAsia="ru-RU"/>
          </w:rPr>
          <w:t>.</w:t>
        </w:r>
        <w:r>
          <w:rPr>
            <w:rFonts w:ascii="Times New Roman" w:eastAsiaTheme="majorEastAsia" w:hAnsi="Times New Roman"/>
            <w:lang w:val="en-GB" w:eastAsia="ru-RU"/>
          </w:rPr>
          <w:t xml:space="preserve"> Associations, Trade Unions and Political Parties</w:t>
        </w:r>
        <w:r>
          <w:tab/>
        </w:r>
        <w:r>
          <w:fldChar w:fldCharType="begin"/>
        </w:r>
        <w:r>
          <w:instrText xml:space="preserve"> PAGEREF _Toc10271 </w:instrText>
        </w:r>
        <w:r>
          <w:fldChar w:fldCharType="separate"/>
        </w:r>
        <w:r>
          <w:rPr>
            <w:noProof/>
          </w:rPr>
          <w:t>33</w:t>
        </w:r>
        <w:r>
          <w:fldChar w:fldCharType="end"/>
        </w:r>
      </w:hyperlink>
    </w:p>
    <w:p w:rsidR="003540B4" w:rsidRDefault="008C0147">
      <w:pPr>
        <w:pStyle w:val="TOC1"/>
        <w:tabs>
          <w:tab w:val="right" w:leader="dot" w:pos="9071"/>
        </w:tabs>
      </w:pPr>
      <w:hyperlink w:anchor="_Toc4010" w:history="1">
        <w:r>
          <w:rPr>
            <w:rFonts w:ascii="Times New Roman" w:eastAsiaTheme="majorEastAsia" w:hAnsi="Times New Roman"/>
            <w:lang w:val="en-GB" w:eastAsia="ru-RU"/>
          </w:rPr>
          <w:t>4.6. Case Law</w:t>
        </w:r>
        <w:r>
          <w:tab/>
        </w:r>
        <w:r>
          <w:fldChar w:fldCharType="begin"/>
        </w:r>
        <w:r>
          <w:instrText xml:space="preserve"> PAGEREF _Toc4010 </w:instrText>
        </w:r>
        <w:r>
          <w:fldChar w:fldCharType="separate"/>
        </w:r>
        <w:r>
          <w:rPr>
            <w:noProof/>
          </w:rPr>
          <w:t>35</w:t>
        </w:r>
        <w:r>
          <w:fldChar w:fldCharType="end"/>
        </w:r>
      </w:hyperlink>
    </w:p>
    <w:p w:rsidR="003540B4" w:rsidRDefault="008C0147">
      <w:pPr>
        <w:pStyle w:val="TOC1"/>
        <w:tabs>
          <w:tab w:val="right" w:leader="dot" w:pos="9071"/>
        </w:tabs>
      </w:pPr>
      <w:hyperlink w:anchor="_Toc7175" w:history="1">
        <w:r>
          <w:rPr>
            <w:rFonts w:ascii="Times New Roman" w:eastAsiaTheme="majorEastAsia" w:hAnsi="Times New Roman"/>
            <w:lang w:val="en-GB"/>
          </w:rPr>
          <w:t>Conclusion.</w:t>
        </w:r>
        <w:r>
          <w:tab/>
        </w:r>
        <w:r>
          <w:fldChar w:fldCharType="begin"/>
        </w:r>
        <w:r>
          <w:instrText xml:space="preserve"> PAGEREF _Toc7175 </w:instrText>
        </w:r>
        <w:r>
          <w:fldChar w:fldCharType="separate"/>
        </w:r>
        <w:r>
          <w:rPr>
            <w:noProof/>
          </w:rPr>
          <w:t>38</w:t>
        </w:r>
        <w:r>
          <w:fldChar w:fldCharType="end"/>
        </w:r>
      </w:hyperlink>
    </w:p>
    <w:p w:rsidR="003540B4" w:rsidRDefault="008C0147">
      <w:pPr>
        <w:pStyle w:val="TOC1"/>
        <w:tabs>
          <w:tab w:val="right" w:leader="dot" w:pos="9071"/>
        </w:tabs>
      </w:pPr>
      <w:hyperlink w:anchor="_Toc18406" w:history="1">
        <w:r>
          <w:rPr>
            <w:rFonts w:ascii="Times New Roman" w:eastAsiaTheme="majorEastAsia" w:hAnsi="Times New Roman"/>
            <w:lang w:val="en-GB"/>
          </w:rPr>
          <w:t>Bibliography:</w:t>
        </w:r>
        <w:r>
          <w:tab/>
        </w:r>
        <w:r>
          <w:fldChar w:fldCharType="begin"/>
        </w:r>
        <w:r>
          <w:instrText xml:space="preserve"> PAGEREF _Toc18406 </w:instrText>
        </w:r>
        <w:r>
          <w:fldChar w:fldCharType="separate"/>
        </w:r>
        <w:r>
          <w:rPr>
            <w:noProof/>
          </w:rPr>
          <w:t>39</w:t>
        </w:r>
        <w:r>
          <w:fldChar w:fldCharType="end"/>
        </w:r>
      </w:hyperlink>
    </w:p>
    <w:p w:rsidR="003540B4" w:rsidRDefault="008C0147">
      <w:pPr>
        <w:pStyle w:val="TOC1"/>
        <w:tabs>
          <w:tab w:val="right" w:leader="dot" w:pos="9071"/>
        </w:tabs>
      </w:pPr>
      <w:hyperlink w:anchor="_Toc17301" w:history="1">
        <w:r>
          <w:rPr>
            <w:rFonts w:ascii="Times New Roman" w:eastAsiaTheme="majorEastAsia" w:hAnsi="Times New Roman"/>
            <w:lang w:val="en-GB" w:eastAsia="ru-RU"/>
          </w:rPr>
          <w:t>1. Primary Sources</w:t>
        </w:r>
        <w:r>
          <w:tab/>
        </w:r>
        <w:r>
          <w:fldChar w:fldCharType="begin"/>
        </w:r>
        <w:r>
          <w:instrText xml:space="preserve"> PAGEREF _Toc17301 </w:instrText>
        </w:r>
        <w:r>
          <w:fldChar w:fldCharType="separate"/>
        </w:r>
        <w:r>
          <w:rPr>
            <w:noProof/>
          </w:rPr>
          <w:t>39</w:t>
        </w:r>
        <w:r>
          <w:fldChar w:fldCharType="end"/>
        </w:r>
      </w:hyperlink>
    </w:p>
    <w:p w:rsidR="003540B4" w:rsidRDefault="008C0147">
      <w:pPr>
        <w:pStyle w:val="TOC1"/>
        <w:tabs>
          <w:tab w:val="right" w:leader="dot" w:pos="9071"/>
        </w:tabs>
      </w:pPr>
      <w:hyperlink w:anchor="_Toc15380" w:history="1">
        <w:r>
          <w:rPr>
            <w:rFonts w:ascii="Times New Roman" w:eastAsiaTheme="majorEastAsia" w:hAnsi="Times New Roman"/>
            <w:lang w:val="en-GB" w:eastAsia="ru-RU"/>
          </w:rPr>
          <w:t>1.1. Legislation of the European Union</w:t>
        </w:r>
        <w:r>
          <w:tab/>
        </w:r>
        <w:r>
          <w:fldChar w:fldCharType="begin"/>
        </w:r>
        <w:r>
          <w:instrText xml:space="preserve"> PAGEREF _Toc15380 </w:instrText>
        </w:r>
        <w:r>
          <w:fldChar w:fldCharType="separate"/>
        </w:r>
        <w:r>
          <w:rPr>
            <w:noProof/>
          </w:rPr>
          <w:t>39</w:t>
        </w:r>
        <w:r>
          <w:fldChar w:fldCharType="end"/>
        </w:r>
      </w:hyperlink>
    </w:p>
    <w:p w:rsidR="003540B4" w:rsidRDefault="008C0147">
      <w:pPr>
        <w:pStyle w:val="TOC1"/>
        <w:tabs>
          <w:tab w:val="right" w:leader="dot" w:pos="9071"/>
        </w:tabs>
      </w:pPr>
      <w:hyperlink w:anchor="_Toc5023" w:history="1">
        <w:r>
          <w:rPr>
            <w:rFonts w:ascii="Times New Roman" w:eastAsiaTheme="majorEastAsia" w:hAnsi="Times New Roman"/>
            <w:lang w:val="en-GB" w:eastAsia="ru-RU"/>
          </w:rPr>
          <w:t xml:space="preserve">1.2. </w:t>
        </w:r>
        <w:r>
          <w:rPr>
            <w:rFonts w:ascii="Times New Roman" w:eastAsiaTheme="majorEastAsia" w:hAnsi="Times New Roman"/>
            <w:lang w:val="en-GB" w:eastAsia="ru-RU"/>
          </w:rPr>
          <w:t>Legislation of the Republic of Latvia</w:t>
        </w:r>
        <w:r>
          <w:tab/>
        </w:r>
        <w:r>
          <w:fldChar w:fldCharType="begin"/>
        </w:r>
        <w:r>
          <w:instrText xml:space="preserve"> PAGEREF _Toc5023 </w:instrText>
        </w:r>
        <w:r>
          <w:fldChar w:fldCharType="separate"/>
        </w:r>
        <w:r>
          <w:rPr>
            <w:noProof/>
          </w:rPr>
          <w:t>39</w:t>
        </w:r>
        <w:r>
          <w:fldChar w:fldCharType="end"/>
        </w:r>
      </w:hyperlink>
    </w:p>
    <w:p w:rsidR="003540B4" w:rsidRDefault="008C0147">
      <w:pPr>
        <w:pStyle w:val="TOC1"/>
        <w:tabs>
          <w:tab w:val="right" w:leader="dot" w:pos="9071"/>
        </w:tabs>
      </w:pPr>
      <w:hyperlink w:anchor="_Toc32470" w:history="1">
        <w:r>
          <w:rPr>
            <w:rFonts w:ascii="Times New Roman" w:eastAsiaTheme="majorEastAsia" w:hAnsi="Times New Roman"/>
            <w:lang w:val="en-GB" w:eastAsia="ru-RU"/>
          </w:rPr>
          <w:t>2. Secondary Sources</w:t>
        </w:r>
        <w:r>
          <w:tab/>
        </w:r>
        <w:r>
          <w:fldChar w:fldCharType="begin"/>
        </w:r>
        <w:r>
          <w:instrText xml:space="preserve"> PAGEREF _Toc32470 </w:instrText>
        </w:r>
        <w:r>
          <w:fldChar w:fldCharType="separate"/>
        </w:r>
        <w:r>
          <w:rPr>
            <w:noProof/>
          </w:rPr>
          <w:t>40</w:t>
        </w:r>
        <w:r>
          <w:fldChar w:fldCharType="end"/>
        </w:r>
      </w:hyperlink>
    </w:p>
    <w:p w:rsidR="003540B4" w:rsidRDefault="008C0147">
      <w:r>
        <w:fldChar w:fldCharType="end"/>
      </w:r>
    </w:p>
    <w:p w:rsidR="003540B4" w:rsidRDefault="008C0147">
      <w:pPr>
        <w:rPr>
          <w:highlight w:val="white"/>
          <w:lang w:val="en-GB"/>
        </w:rPr>
      </w:pPr>
      <w:r>
        <w:rPr>
          <w:highlight w:val="white"/>
          <w:lang w:val="en-GB"/>
        </w:rPr>
        <w:br w:type="page"/>
      </w:r>
    </w:p>
    <w:p w:rsidR="003540B4" w:rsidRDefault="008C0147">
      <w:pPr>
        <w:pStyle w:val="Heading10"/>
        <w:numPr>
          <w:ilvl w:val="0"/>
          <w:numId w:val="0"/>
        </w:numPr>
        <w:ind w:left="567"/>
        <w:rPr>
          <w:rFonts w:ascii="Times New Roman" w:eastAsiaTheme="majorEastAsia" w:hAnsi="Times New Roman" w:hint="default"/>
          <w:color w:val="000000" w:themeColor="text1"/>
          <w:lang w:val="en-GB" w:eastAsia="ru-RU"/>
        </w:rPr>
      </w:pPr>
      <w:bookmarkStart w:id="7" w:name="_Toc17909"/>
      <w:bookmarkStart w:id="8" w:name="_Toc21121"/>
      <w:r>
        <w:rPr>
          <w:rFonts w:ascii="Times New Roman" w:eastAsiaTheme="majorEastAsia" w:hAnsi="Times New Roman" w:cs="Tahoma" w:hint="default"/>
          <w:color w:val="000000" w:themeColor="text1"/>
          <w:szCs w:val="28"/>
          <w:lang w:val="en-GB" w:eastAsia="ru-RU"/>
        </w:rPr>
        <w:t>List of Abbreviations</w:t>
      </w:r>
      <w:bookmarkEnd w:id="7"/>
    </w:p>
    <w:p w:rsidR="003540B4" w:rsidRDefault="008C0147">
      <w:pPr>
        <w:pStyle w:val="RGSLNormal"/>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eastAsia="ru-RU"/>
        </w:rPr>
        <w:t xml:space="preserve">AML- Anti Money Laundering </w:t>
      </w:r>
    </w:p>
    <w:p w:rsidR="003540B4" w:rsidRDefault="008C0147">
      <w:pPr>
        <w:pStyle w:val="RGSLNormal"/>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eastAsia="ru-RU"/>
        </w:rPr>
        <w:t>BO- Beneficial Owner</w:t>
      </w:r>
    </w:p>
    <w:p w:rsidR="003540B4" w:rsidRDefault="008C0147">
      <w:pPr>
        <w:pStyle w:val="RGSLNormal"/>
        <w:jc w:val="both"/>
        <w:rPr>
          <w:rFonts w:ascii="Times New Roman" w:eastAsiaTheme="majorEastAsia" w:hAnsi="Times New Roman"/>
          <w:color w:val="000000" w:themeColor="text1"/>
          <w:lang w:val="en-GB" w:eastAsia="ru-RU"/>
        </w:rPr>
      </w:pPr>
      <w:r>
        <w:rPr>
          <w:rFonts w:ascii="Times New Roman" w:eastAsia="Times New Roman" w:hAnsi="Times New Roman" w:cs="Times New Roman"/>
          <w:sz w:val="24"/>
          <w:szCs w:val="24"/>
          <w:lang w:val="en-GB" w:eastAsia="ru-RU"/>
        </w:rPr>
        <w:t>MER- Mutual Evaluation Report</w:t>
      </w:r>
      <w:r>
        <w:rPr>
          <w:rFonts w:ascii="Times New Roman" w:eastAsiaTheme="majorEastAsia" w:hAnsi="Times New Roman"/>
          <w:color w:val="000000" w:themeColor="text1"/>
          <w:lang w:val="en-GB" w:eastAsia="ru-RU"/>
        </w:rPr>
        <w:br w:type="page"/>
      </w:r>
    </w:p>
    <w:p w:rsidR="003540B4" w:rsidRDefault="008C0147">
      <w:pPr>
        <w:pStyle w:val="RGSLHeading10"/>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9" w:name="_Toc25651"/>
      <w:r>
        <w:rPr>
          <w:rFonts w:ascii="Times New Roman" w:eastAsiaTheme="majorEastAsia" w:hAnsi="Times New Roman"/>
          <w:color w:val="000000" w:themeColor="text1"/>
          <w:lang w:val="en-GB" w:eastAsia="ru-RU"/>
        </w:rPr>
        <w:t>Introduction</w:t>
      </w:r>
      <w:bookmarkEnd w:id="8"/>
      <w:bookmarkEnd w:id="9"/>
    </w:p>
    <w:p w:rsidR="003540B4" w:rsidRDefault="008C0147">
      <w:pPr>
        <w:pStyle w:val="RGSLBodywithoutindentation"/>
        <w:rPr>
          <w:rFonts w:eastAsiaTheme="majorEastAsia" w:cs="Tahoma"/>
          <w:color w:val="000000" w:themeColor="text1"/>
          <w:szCs w:val="28"/>
          <w:lang w:val="en-US"/>
        </w:rPr>
      </w:pPr>
      <w:r>
        <w:rPr>
          <w:rFonts w:eastAsiaTheme="majorEastAsia" w:cs="Tahoma"/>
          <w:color w:val="000000" w:themeColor="text1"/>
          <w:szCs w:val="24"/>
          <w:lang w:val="en-US"/>
        </w:rPr>
        <w:t>Free movement of capital</w:t>
      </w:r>
      <w:r>
        <w:rPr>
          <w:rFonts w:eastAsiaTheme="majorEastAsia" w:cs="Tahoma"/>
          <w:color w:val="000000" w:themeColor="text1"/>
          <w:szCs w:val="24"/>
          <w:lang w:val="en-GB"/>
        </w:rPr>
        <w:t xml:space="preserve"> ( </w:t>
      </w:r>
      <w:r>
        <w:rPr>
          <w:rFonts w:eastAsiaTheme="majorEastAsia" w:cs="Tahoma"/>
          <w:color w:val="000000" w:themeColor="text1"/>
          <w:szCs w:val="24"/>
          <w:lang w:val="en-US"/>
        </w:rPr>
        <w:t>mainly regulated by the Maastricht treaty</w:t>
      </w:r>
      <w:r>
        <w:rPr>
          <w:rFonts w:eastAsiaTheme="majorEastAsia" w:cs="Tahoma"/>
          <w:color w:val="000000" w:themeColor="text1"/>
          <w:szCs w:val="24"/>
          <w:vertAlign w:val="superscript"/>
        </w:rPr>
        <w:footnoteReference w:id="1"/>
      </w:r>
      <w:r>
        <w:rPr>
          <w:rFonts w:eastAsiaTheme="majorEastAsia" w:cs="Tahoma"/>
          <w:color w:val="000000" w:themeColor="text1"/>
          <w:szCs w:val="24"/>
          <w:lang w:val="en-GB"/>
        </w:rPr>
        <w:t>) and free trade among member states are among the European Union's founding principles</w:t>
      </w:r>
      <w:r>
        <w:rPr>
          <w:rFonts w:eastAsiaTheme="majorEastAsia" w:cs="Tahoma"/>
          <w:color w:val="000000" w:themeColor="text1"/>
          <w:szCs w:val="24"/>
          <w:vertAlign w:val="superscript"/>
        </w:rPr>
        <w:footnoteReference w:id="2"/>
      </w:r>
      <w:r>
        <w:rPr>
          <w:rFonts w:eastAsiaTheme="majorEastAsia" w:cs="Tahoma"/>
          <w:color w:val="000000" w:themeColor="text1"/>
          <w:szCs w:val="24"/>
          <w:lang w:val="en-GB"/>
        </w:rPr>
        <w:t>. Directive 2019/882 has established the freedom of products and services, as has aime</w:t>
      </w:r>
      <w:r>
        <w:rPr>
          <w:rFonts w:eastAsiaTheme="majorEastAsia" w:cs="Tahoma"/>
          <w:color w:val="000000" w:themeColor="text1"/>
          <w:szCs w:val="24"/>
          <w:lang w:val="en-GB"/>
        </w:rPr>
        <w:t>d at elimination of barriers to free trade</w:t>
      </w:r>
      <w:r>
        <w:rPr>
          <w:rStyle w:val="FootnoteReference"/>
          <w:rFonts w:eastAsiaTheme="majorEastAsia" w:cs="Tahoma"/>
          <w:color w:val="000000" w:themeColor="text1"/>
          <w:szCs w:val="24"/>
          <w:lang w:val="en-GB"/>
        </w:rPr>
        <w:footnoteReference w:id="3"/>
      </w:r>
      <w:r>
        <w:rPr>
          <w:rFonts w:eastAsiaTheme="majorEastAsia" w:cs="Tahoma"/>
          <w:color w:val="000000" w:themeColor="text1"/>
          <w:szCs w:val="24"/>
          <w:lang w:val="en-GB"/>
        </w:rPr>
        <w:t>. Overall, the aims established at the foundation of the European Union have been beneficial for the member states and its citizens as well. Yet those have given rise to larger availability for criminals to process their ill gotten funds and property throu</w:t>
      </w:r>
      <w:r>
        <w:rPr>
          <w:rFonts w:eastAsiaTheme="majorEastAsia" w:cs="Tahoma"/>
          <w:color w:val="000000" w:themeColor="text1"/>
          <w:szCs w:val="24"/>
          <w:lang w:val="en-GB"/>
        </w:rPr>
        <w:t>gh the Member States financial system. Thus introducing the funds or property of illicit origin and conducting multiple manipulations with it transporting those through the financial system so that as the end result property or funds seem to have a legal o</w:t>
      </w:r>
      <w:r>
        <w:rPr>
          <w:rFonts w:eastAsiaTheme="majorEastAsia" w:cs="Tahoma"/>
          <w:color w:val="000000" w:themeColor="text1"/>
          <w:szCs w:val="24"/>
          <w:lang w:val="en-GB"/>
        </w:rPr>
        <w:t xml:space="preserve">rigin. For the purpose of fighting this crime a common “European Union legal framework on </w:t>
      </w:r>
      <w:r>
        <w:rPr>
          <w:rFonts w:eastAsiaTheme="majorEastAsia" w:cs="Tahoma"/>
          <w:color w:val="000000" w:themeColor="text1"/>
          <w:szCs w:val="24"/>
          <w:lang w:val="en-US"/>
        </w:rPr>
        <w:t>anti-money laundering and counter terrorist financing</w:t>
      </w:r>
      <w:r>
        <w:rPr>
          <w:rFonts w:eastAsiaTheme="majorEastAsia" w:cs="Tahoma"/>
          <w:color w:val="000000" w:themeColor="text1"/>
          <w:szCs w:val="24"/>
          <w:vertAlign w:val="superscript"/>
        </w:rPr>
        <w:footnoteReference w:id="4"/>
      </w:r>
      <w:r>
        <w:rPr>
          <w:rFonts w:eastAsiaTheme="majorEastAsia" w:cs="Tahoma"/>
          <w:color w:val="000000" w:themeColor="text1"/>
          <w:szCs w:val="24"/>
          <w:lang w:val="en-GB"/>
        </w:rPr>
        <w:t xml:space="preserve">” has been developed. With the first regulatory norm introduced in 1990s. Ever since </w:t>
      </w:r>
      <w:r>
        <w:rPr>
          <w:rFonts w:eastAsiaTheme="majorEastAsia" w:cs="Tahoma"/>
          <w:color w:val="000000" w:themeColor="text1"/>
          <w:szCs w:val="24"/>
          <w:lang w:val="en-US"/>
        </w:rPr>
        <w:t>common regulat</w:t>
      </w:r>
      <w:r>
        <w:rPr>
          <w:rFonts w:eastAsiaTheme="majorEastAsia" w:cs="Tahoma"/>
          <w:color w:val="000000" w:themeColor="text1"/>
          <w:szCs w:val="24"/>
          <w:lang w:val="en-GB"/>
        </w:rPr>
        <w:t>ory norms and</w:t>
      </w:r>
      <w:r>
        <w:rPr>
          <w:rFonts w:eastAsiaTheme="majorEastAsia" w:cs="Tahoma"/>
          <w:color w:val="000000" w:themeColor="text1"/>
          <w:szCs w:val="24"/>
          <w:lang w:val="en-GB"/>
        </w:rPr>
        <w:t xml:space="preserve"> establishment of </w:t>
      </w:r>
      <w:r>
        <w:rPr>
          <w:rFonts w:eastAsiaTheme="majorEastAsia" w:cs="Tahoma"/>
          <w:color w:val="000000" w:themeColor="text1"/>
          <w:szCs w:val="24"/>
          <w:lang w:val="lv-LV"/>
        </w:rPr>
        <w:t>c</w:t>
      </w:r>
      <w:r>
        <w:rPr>
          <w:rFonts w:eastAsiaTheme="majorEastAsia" w:cs="Tahoma"/>
          <w:color w:val="000000" w:themeColor="text1"/>
          <w:szCs w:val="24"/>
          <w:lang w:val="en-GB"/>
        </w:rPr>
        <w:t xml:space="preserve">ooperation between states have fastly developed to fight the money laundering crime. In order to ensure that legal norms have been developed both at EU level and in member states, as well as </w:t>
      </w:r>
      <w:r>
        <w:rPr>
          <w:rFonts w:eastAsiaTheme="majorEastAsia" w:cs="Tahoma"/>
          <w:color w:val="000000" w:themeColor="text1"/>
          <w:szCs w:val="24"/>
          <w:lang w:val="en-US"/>
        </w:rPr>
        <w:t>overlooking institutions and techniques to con</w:t>
      </w:r>
      <w:r>
        <w:rPr>
          <w:rFonts w:eastAsiaTheme="majorEastAsia" w:cs="Tahoma"/>
          <w:color w:val="000000" w:themeColor="text1"/>
          <w:szCs w:val="24"/>
          <w:lang w:val="en-US"/>
        </w:rPr>
        <w:t xml:space="preserve">trol and prevent </w:t>
      </w:r>
      <w:r>
        <w:rPr>
          <w:rFonts w:eastAsiaTheme="majorEastAsia" w:cs="Tahoma"/>
          <w:color w:val="000000" w:themeColor="text1"/>
          <w:szCs w:val="24"/>
          <w:lang w:val="en-GB"/>
        </w:rPr>
        <w:t xml:space="preserve">the criminal activity. </w:t>
      </w:r>
      <w:r>
        <w:rPr>
          <w:rFonts w:eastAsiaTheme="majorEastAsia" w:cs="Tahoma"/>
          <w:color w:val="000000" w:themeColor="text1"/>
          <w:szCs w:val="28"/>
          <w:lang w:val="en-US"/>
        </w:rPr>
        <w:t xml:space="preserve"> </w:t>
      </w:r>
    </w:p>
    <w:p w:rsidR="003540B4" w:rsidRDefault="008C0147">
      <w:pPr>
        <w:pStyle w:val="RGSLBodywithindentation"/>
        <w:rPr>
          <w:lang w:val="en-GB"/>
        </w:rPr>
      </w:pPr>
      <w:r>
        <w:rPr>
          <w:lang w:val="en-GB"/>
        </w:rPr>
        <w:t>The term “Beneficial Owner” is playing an important role in the Anti Money Laundering legislation and practices as it is a name for the natural person to whose benefit the legal person or arrangement is existing and conducting its business activities. Thus</w:t>
      </w:r>
      <w:r>
        <w:rPr>
          <w:lang w:val="en-GB"/>
        </w:rPr>
        <w:t xml:space="preserve"> the aim of this thesis is to identify the characteristics that the natural person has to bear in order to be identified as the beneficial owner. The identification will be achieved by researching following objectives: </w:t>
      </w:r>
    </w:p>
    <w:p w:rsidR="003540B4" w:rsidRDefault="008C0147">
      <w:pPr>
        <w:numPr>
          <w:ilvl w:val="0"/>
          <w:numId w:val="3"/>
        </w:numPr>
        <w:spacing w:after="120" w:line="300" w:lineRule="atLeast"/>
        <w:jc w:val="both"/>
        <w:rPr>
          <w:rFonts w:ascii="Times New Roman" w:eastAsiaTheme="majorEastAsia" w:hAnsi="Times New Roman" w:cs="Tahoma"/>
          <w:color w:val="000000" w:themeColor="text1"/>
          <w:sz w:val="24"/>
          <w:szCs w:val="24"/>
          <w:lang w:val="en-GB" w:eastAsia="ru-RU"/>
        </w:rPr>
      </w:pPr>
      <w:r>
        <w:rPr>
          <w:rFonts w:ascii="Times New Roman" w:eastAsiaTheme="majorEastAsia" w:hAnsi="Times New Roman" w:cs="Tahoma"/>
          <w:color w:val="000000" w:themeColor="text1"/>
          <w:sz w:val="24"/>
          <w:szCs w:val="24"/>
          <w:lang w:val="en-GB" w:eastAsia="ru-RU"/>
        </w:rPr>
        <w:t>To s</w:t>
      </w:r>
      <w:r>
        <w:rPr>
          <w:rFonts w:ascii="Times New Roman" w:eastAsiaTheme="majorEastAsia" w:hAnsi="Times New Roman" w:cs="Tahoma"/>
          <w:color w:val="000000" w:themeColor="text1"/>
          <w:sz w:val="24"/>
          <w:szCs w:val="24"/>
          <w:lang w:val="en-GB" w:eastAsia="ru-RU"/>
        </w:rPr>
        <w:t>tudy the introduction of the ter</w:t>
      </w:r>
      <w:r>
        <w:rPr>
          <w:rFonts w:ascii="Times New Roman" w:eastAsiaTheme="majorEastAsia" w:hAnsi="Times New Roman" w:cs="Tahoma"/>
          <w:color w:val="000000" w:themeColor="text1"/>
          <w:sz w:val="24"/>
          <w:szCs w:val="24"/>
          <w:lang w:val="en-GB" w:eastAsia="ru-RU"/>
        </w:rPr>
        <w:t xml:space="preserve">m beneficial owner and its following development within the European Union Anti Money Laundering Legislation. </w:t>
      </w:r>
    </w:p>
    <w:p w:rsidR="003540B4" w:rsidRDefault="008C0147">
      <w:pPr>
        <w:numPr>
          <w:ilvl w:val="0"/>
          <w:numId w:val="3"/>
        </w:numPr>
        <w:spacing w:after="120" w:line="300" w:lineRule="atLeast"/>
        <w:jc w:val="both"/>
        <w:rPr>
          <w:rFonts w:ascii="Times New Roman" w:eastAsiaTheme="majorEastAsia" w:hAnsi="Times New Roman" w:cs="Tahoma"/>
          <w:color w:val="000000" w:themeColor="text1"/>
          <w:sz w:val="24"/>
          <w:szCs w:val="24"/>
          <w:lang w:val="en-GB" w:eastAsia="ru-RU"/>
        </w:rPr>
      </w:pPr>
      <w:r>
        <w:rPr>
          <w:rFonts w:ascii="Times New Roman" w:eastAsiaTheme="majorEastAsia" w:hAnsi="Times New Roman" w:cs="Tahoma"/>
          <w:color w:val="000000" w:themeColor="text1"/>
          <w:sz w:val="24"/>
          <w:szCs w:val="24"/>
          <w:lang w:val="en-GB" w:eastAsia="ru-RU"/>
        </w:rPr>
        <w:t xml:space="preserve">Research the implementation of the European Union definition within the scope of Latvian national Anti Money Laundering legislation. </w:t>
      </w:r>
    </w:p>
    <w:p w:rsidR="003540B4" w:rsidRDefault="008C0147">
      <w:pPr>
        <w:numPr>
          <w:ilvl w:val="0"/>
          <w:numId w:val="3"/>
        </w:numPr>
        <w:spacing w:after="120" w:line="300" w:lineRule="atLeast"/>
        <w:jc w:val="both"/>
        <w:rPr>
          <w:rFonts w:ascii="Times New Roman" w:eastAsiaTheme="majorEastAsia" w:hAnsi="Times New Roman" w:cs="Tahoma"/>
          <w:color w:val="000000" w:themeColor="text1"/>
          <w:sz w:val="24"/>
          <w:szCs w:val="24"/>
          <w:lang w:val="en-GB" w:eastAsia="ru-RU"/>
        </w:rPr>
      </w:pPr>
      <w:r>
        <w:rPr>
          <w:rFonts w:ascii="Times New Roman" w:eastAsiaTheme="majorEastAsia" w:hAnsi="Times New Roman" w:cs="Tahoma"/>
          <w:color w:val="000000" w:themeColor="text1"/>
          <w:sz w:val="24"/>
          <w:szCs w:val="24"/>
          <w:lang w:val="en-GB" w:eastAsia="ru-RU"/>
        </w:rPr>
        <w:t xml:space="preserve">Identify </w:t>
      </w:r>
      <w:r>
        <w:rPr>
          <w:rFonts w:ascii="Times New Roman" w:eastAsiaTheme="majorEastAsia" w:hAnsi="Times New Roman" w:cs="Tahoma"/>
          <w:color w:val="000000" w:themeColor="text1"/>
          <w:sz w:val="24"/>
          <w:szCs w:val="24"/>
          <w:lang w:val="en-GB" w:eastAsia="ru-RU"/>
        </w:rPr>
        <w:t>the specifics of the process of identification of beneficial owner depending on the legal form of business in the Latvian national laws</w:t>
      </w:r>
    </w:p>
    <w:p w:rsidR="003540B4" w:rsidRDefault="008C0147">
      <w:pPr>
        <w:pStyle w:val="RGSLBodywithindentation"/>
      </w:pPr>
      <w:bookmarkStart w:id="10" w:name="_Toc9662"/>
      <w:bookmarkStart w:id="11" w:name="_Toc31335"/>
      <w:r>
        <w:rPr>
          <w:lang w:val="en-GB"/>
        </w:rPr>
        <w:t>There have been following r</w:t>
      </w:r>
      <w:r>
        <w:t>esearch question</w:t>
      </w:r>
      <w:r>
        <w:rPr>
          <w:lang w:val="en-GB"/>
        </w:rPr>
        <w:t>s set out</w:t>
      </w:r>
      <w:bookmarkEnd w:id="10"/>
      <w:r>
        <w:rPr>
          <w:lang w:val="en-GB"/>
        </w:rPr>
        <w:t xml:space="preserve">: </w:t>
      </w:r>
      <w:r>
        <w:t xml:space="preserve"> </w:t>
      </w:r>
    </w:p>
    <w:p w:rsidR="003540B4" w:rsidRDefault="008C0147">
      <w:pPr>
        <w:pStyle w:val="RGSLBodywithoutindentation"/>
        <w:numPr>
          <w:ilvl w:val="0"/>
          <w:numId w:val="4"/>
        </w:numPr>
        <w:spacing w:line="300" w:lineRule="atLeast"/>
        <w:rPr>
          <w:rFonts w:eastAsiaTheme="majorEastAsia" w:cs="Tahoma"/>
          <w:color w:val="000000" w:themeColor="text1"/>
          <w:szCs w:val="24"/>
          <w:lang w:val="en-US"/>
        </w:rPr>
      </w:pPr>
      <w:bookmarkStart w:id="12" w:name="_Toc19601"/>
      <w:r>
        <w:rPr>
          <w:rFonts w:eastAsiaTheme="majorEastAsia" w:cs="Tahoma"/>
          <w:color w:val="000000" w:themeColor="text1"/>
          <w:szCs w:val="24"/>
          <w:lang w:val="en-GB"/>
        </w:rPr>
        <w:t>What are the main aspects that have changed and evolved during t</w:t>
      </w:r>
      <w:r>
        <w:rPr>
          <w:rFonts w:eastAsiaTheme="majorEastAsia" w:cs="Tahoma"/>
          <w:color w:val="000000" w:themeColor="text1"/>
          <w:szCs w:val="24"/>
          <w:lang w:val="en-GB"/>
        </w:rPr>
        <w:t>he development of the EU AML Legislation?</w:t>
      </w:r>
      <w:bookmarkEnd w:id="12"/>
      <w:r>
        <w:rPr>
          <w:rFonts w:eastAsiaTheme="majorEastAsia" w:cs="Tahoma"/>
          <w:color w:val="000000" w:themeColor="text1"/>
          <w:szCs w:val="24"/>
          <w:lang w:val="en-GB"/>
        </w:rPr>
        <w:t xml:space="preserve"> </w:t>
      </w:r>
    </w:p>
    <w:p w:rsidR="003540B4" w:rsidRDefault="008C0147">
      <w:pPr>
        <w:pStyle w:val="RGSLBodywithoutindentation"/>
        <w:numPr>
          <w:ilvl w:val="0"/>
          <w:numId w:val="4"/>
        </w:numPr>
        <w:spacing w:line="300" w:lineRule="atLeast"/>
        <w:rPr>
          <w:rFonts w:eastAsiaTheme="majorEastAsia" w:cs="Tahoma"/>
          <w:color w:val="000000" w:themeColor="text1"/>
          <w:szCs w:val="24"/>
          <w:lang w:val="en-US"/>
        </w:rPr>
      </w:pPr>
      <w:bookmarkStart w:id="13" w:name="_Toc25539"/>
      <w:r>
        <w:rPr>
          <w:rFonts w:eastAsiaTheme="majorEastAsia" w:cs="Tahoma"/>
          <w:color w:val="000000" w:themeColor="text1"/>
          <w:szCs w:val="24"/>
          <w:lang w:val="en-GB"/>
        </w:rPr>
        <w:t>What are the characteristics of the “Beneficial owner” under EU Directives?</w:t>
      </w:r>
      <w:bookmarkEnd w:id="13"/>
      <w:r>
        <w:rPr>
          <w:rFonts w:eastAsiaTheme="majorEastAsia" w:cs="Tahoma"/>
          <w:color w:val="000000" w:themeColor="text1"/>
          <w:szCs w:val="24"/>
          <w:lang w:val="en-GB"/>
        </w:rPr>
        <w:t xml:space="preserve"> </w:t>
      </w:r>
    </w:p>
    <w:p w:rsidR="003540B4" w:rsidRDefault="008C0147">
      <w:pPr>
        <w:pStyle w:val="RGSLBodywithoutindentation"/>
        <w:numPr>
          <w:ilvl w:val="0"/>
          <w:numId w:val="4"/>
        </w:numPr>
        <w:spacing w:line="300" w:lineRule="atLeast"/>
        <w:rPr>
          <w:rFonts w:eastAsiaTheme="majorEastAsia" w:cs="Tahoma"/>
          <w:color w:val="000000" w:themeColor="text1"/>
          <w:szCs w:val="24"/>
          <w:lang w:val="en-GB"/>
        </w:rPr>
      </w:pPr>
      <w:bookmarkStart w:id="14" w:name="_Toc5662"/>
      <w:r>
        <w:rPr>
          <w:rFonts w:eastAsiaTheme="majorEastAsia" w:cs="Tahoma"/>
          <w:color w:val="000000" w:themeColor="text1"/>
          <w:szCs w:val="24"/>
          <w:lang w:val="en-GB"/>
        </w:rPr>
        <w:t>W</w:t>
      </w:r>
      <w:r>
        <w:rPr>
          <w:rFonts w:eastAsiaTheme="majorEastAsia" w:cs="Tahoma"/>
          <w:color w:val="000000" w:themeColor="text1"/>
          <w:szCs w:val="24"/>
          <w:lang w:val="en-US"/>
        </w:rPr>
        <w:t>h</w:t>
      </w:r>
      <w:r>
        <w:rPr>
          <w:rFonts w:eastAsiaTheme="majorEastAsia" w:cs="Tahoma"/>
          <w:color w:val="000000" w:themeColor="text1"/>
          <w:szCs w:val="24"/>
          <w:lang w:val="en-GB"/>
        </w:rPr>
        <w:t xml:space="preserve">o is </w:t>
      </w:r>
      <w:r>
        <w:rPr>
          <w:rFonts w:eastAsiaTheme="majorEastAsia" w:cs="Tahoma"/>
          <w:color w:val="000000" w:themeColor="text1"/>
          <w:szCs w:val="24"/>
          <w:lang w:val="en-US"/>
        </w:rPr>
        <w:t xml:space="preserve">subject of the </w:t>
      </w:r>
      <w:r>
        <w:rPr>
          <w:rFonts w:eastAsiaTheme="majorEastAsia" w:cs="Tahoma"/>
          <w:color w:val="000000" w:themeColor="text1"/>
          <w:szCs w:val="24"/>
          <w:lang w:val="en-GB"/>
        </w:rPr>
        <w:t xml:space="preserve">term beneficial owner in the national law of Latvia Law on the Prevention of Money Laundering and Terrorism and </w:t>
      </w:r>
      <w:r>
        <w:rPr>
          <w:rFonts w:eastAsiaTheme="majorEastAsia" w:cs="Tahoma"/>
          <w:color w:val="000000" w:themeColor="text1"/>
          <w:szCs w:val="24"/>
          <w:lang w:val="en-GB"/>
        </w:rPr>
        <w:t>Proliferation Financing?</w:t>
      </w:r>
      <w:bookmarkEnd w:id="11"/>
      <w:r>
        <w:rPr>
          <w:rFonts w:eastAsiaTheme="majorEastAsia" w:cs="Tahoma"/>
          <w:color w:val="000000" w:themeColor="text1"/>
          <w:szCs w:val="24"/>
          <w:lang w:val="en-GB"/>
        </w:rPr>
        <w:t xml:space="preserve">  </w:t>
      </w:r>
      <w:bookmarkEnd w:id="14"/>
    </w:p>
    <w:p w:rsidR="003540B4" w:rsidRDefault="008C0147">
      <w:pPr>
        <w:pStyle w:val="RGSLBodywithoutindentation"/>
        <w:numPr>
          <w:ilvl w:val="0"/>
          <w:numId w:val="4"/>
        </w:numPr>
        <w:spacing w:line="300" w:lineRule="atLeast"/>
        <w:rPr>
          <w:rFonts w:eastAsiaTheme="majorEastAsia" w:cs="Tahoma"/>
          <w:color w:val="000000" w:themeColor="text1"/>
          <w:szCs w:val="24"/>
          <w:lang w:val="en-GB"/>
        </w:rPr>
      </w:pPr>
      <w:r>
        <w:rPr>
          <w:rFonts w:eastAsiaTheme="majorEastAsia" w:cs="Tahoma"/>
          <w:color w:val="000000" w:themeColor="text1"/>
          <w:szCs w:val="24"/>
          <w:lang w:val="en-GB"/>
        </w:rPr>
        <w:t>How the beneficial owner is identified in exceptional cases, when initial definition is not applicable</w:t>
      </w:r>
      <w:r>
        <w:rPr>
          <w:rFonts w:eastAsiaTheme="majorEastAsia" w:cs="Tahoma"/>
          <w:color w:val="000000" w:themeColor="text1"/>
          <w:szCs w:val="24"/>
          <w:lang w:val="en-GB"/>
        </w:rPr>
        <w:t xml:space="preserve"> </w:t>
      </w:r>
    </w:p>
    <w:p w:rsidR="003540B4" w:rsidRDefault="008C0147">
      <w:pPr>
        <w:pStyle w:val="RGSLBodywithindentation"/>
      </w:pPr>
      <w:r>
        <w:rPr>
          <w:szCs w:val="24"/>
          <w:lang w:val="en-GB"/>
        </w:rPr>
        <w:t xml:space="preserve"> </w:t>
      </w:r>
      <w:r>
        <w:rPr>
          <w:lang w:val="en-GB"/>
        </w:rPr>
        <w:t>Anti Money Laundering and Terrorism Proliferation legislation term  “Beneficial owner” is on of the most commonly used and l</w:t>
      </w:r>
      <w:r>
        <w:rPr>
          <w:lang w:val="en-GB"/>
        </w:rPr>
        <w:t>ittle researched. As such European Union legal norms are integrated into the member states national</w:t>
      </w:r>
      <w:r>
        <w:rPr>
          <w:lang w:val="en-GB"/>
        </w:rPr>
        <w:t xml:space="preserve"> legislation the aim of this thesis is formulated in a following way: </w:t>
      </w:r>
      <w:r>
        <w:rPr>
          <w:lang w:val="en-GB"/>
        </w:rPr>
        <w:t xml:space="preserve"> “What are the neccesary requirements for a person to be identified as the Beneficial O</w:t>
      </w:r>
      <w:r>
        <w:rPr>
          <w:lang w:val="en-GB"/>
        </w:rPr>
        <w:t>wner within the scope of Anti Money Laundering Legislation at the European Union legal norms level and in national laws of Latvia?” Through this research the author is aiming to identify the most precise definition of the term by identifying the</w:t>
      </w:r>
      <w:r>
        <w:rPr>
          <w:lang w:val="en-GB"/>
        </w:rPr>
        <w:t xml:space="preserve"> core princ</w:t>
      </w:r>
      <w:r>
        <w:rPr>
          <w:lang w:val="en-GB"/>
        </w:rPr>
        <w:t xml:space="preserve">iples common to the European Union and Latvian national Anti Money Laundering </w:t>
      </w:r>
      <w:r>
        <w:rPr>
          <w:lang w:val="en-GB"/>
        </w:rPr>
        <w:t xml:space="preserve">legal norms and its actual application. As well as identify the possible lack in the definition. </w:t>
      </w:r>
    </w:p>
    <w:p w:rsidR="003540B4" w:rsidRDefault="008C0147">
      <w:pPr>
        <w:pStyle w:val="RGSLBodywithindentation"/>
        <w:rPr>
          <w:lang w:val="en-GB"/>
        </w:rPr>
      </w:pPr>
      <w:r>
        <w:rPr>
          <w:lang w:val="en-GB"/>
        </w:rPr>
        <w:t>To achieve the previously indicated aims and answer the</w:t>
      </w:r>
      <w:r>
        <w:rPr>
          <w:lang w:val="en-GB"/>
        </w:rPr>
        <w:t xml:space="preserve"> research</w:t>
      </w:r>
      <w:r>
        <w:rPr>
          <w:lang w:val="en-GB"/>
        </w:rPr>
        <w:t xml:space="preserve"> questions put f</w:t>
      </w:r>
      <w:r>
        <w:rPr>
          <w:lang w:val="en-GB"/>
        </w:rPr>
        <w:t xml:space="preserve">orward the </w:t>
      </w:r>
      <w:r>
        <w:t>doctrinal research, scientific literature review, case study</w:t>
      </w:r>
      <w:r>
        <w:rPr>
          <w:lang w:val="en-GB"/>
        </w:rPr>
        <w:t xml:space="preserve"> </w:t>
      </w:r>
      <w:r>
        <w:rPr>
          <w:lang w:val="en-GB"/>
        </w:rPr>
        <w:t xml:space="preserve">are the methods applicable and </w:t>
      </w:r>
      <w:r>
        <w:rPr>
          <w:lang w:val="en-GB"/>
        </w:rPr>
        <w:t>compose the research. Doctrinal research as the basis for the paper will be implemented by analysing existing and amended legislation the term of the ter</w:t>
      </w:r>
      <w:r>
        <w:rPr>
          <w:lang w:val="en-GB"/>
        </w:rPr>
        <w:t>m beneficial owner in the scope of Anti Money Laundering Legislation. For the purposes of interpretation of the legal norms and following the aim of achieving versitaile understanding of the term materials published on the topic by legal scholars will be i</w:t>
      </w:r>
      <w:r>
        <w:rPr>
          <w:lang w:val="en-GB"/>
        </w:rPr>
        <w:t xml:space="preserve">mplemented composing the scientific literature review methodology. In order to provide the interpretation and implementation of the term by the judiciary a case study method will be implemented. </w:t>
      </w:r>
    </w:p>
    <w:p w:rsidR="003540B4" w:rsidRDefault="008C0147">
      <w:pPr>
        <w:pStyle w:val="RGSLBodywithindentation"/>
        <w:rPr>
          <w:lang w:val="en-GB"/>
        </w:rPr>
      </w:pPr>
      <w:r>
        <w:rPr>
          <w:lang w:val="en-GB"/>
        </w:rPr>
        <w:t>The research will contain limitations regarding the scope of</w:t>
      </w:r>
      <w:r>
        <w:rPr>
          <w:lang w:val="en-GB"/>
        </w:rPr>
        <w:t xml:space="preserve"> the</w:t>
      </w:r>
      <w:r>
        <w:rPr>
          <w:lang w:val="en-GB"/>
        </w:rPr>
        <w:t xml:space="preserve"> </w:t>
      </w:r>
      <w:r>
        <w:rPr>
          <w:lang w:val="en-GB"/>
        </w:rPr>
        <w:t>definition as the term will be researched only within the scope of Anti Money L</w:t>
      </w:r>
      <w:r>
        <w:rPr>
          <w:lang w:val="en-GB"/>
        </w:rPr>
        <w:t>a</w:t>
      </w:r>
      <w:r>
        <w:rPr>
          <w:lang w:val="en-GB"/>
        </w:rPr>
        <w:t>undering legislation. As well, as to achieve the aim of understanding the definition and implementation of the term only national Laws of Latvia will be reviewed.</w:t>
      </w:r>
      <w:r>
        <w:rPr>
          <w:lang w:val="en-GB"/>
        </w:rPr>
        <w:t xml:space="preserve">Criminal </w:t>
      </w:r>
      <w:r>
        <w:rPr>
          <w:lang w:val="en-GB"/>
        </w:rPr>
        <w:t xml:space="preserve">liability of the beneficial owner will not be the main objective of the research, thus no inheritance of a minor of the title beneficial owner will not be reviewed. </w:t>
      </w:r>
      <w:r>
        <w:rPr>
          <w:lang w:val="en-GB"/>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The </w:t>
      </w:r>
      <w:r>
        <w:rPr>
          <w:rFonts w:ascii="Times New Roman" w:eastAsia="Times New Roman" w:hAnsi="Times New Roman" w:cs="Times New Roman"/>
          <w:sz w:val="24"/>
          <w:szCs w:val="24"/>
          <w:lang w:val="en-GB" w:eastAsia="en-US"/>
        </w:rPr>
        <w:t>thesis consists of 4 main parts/ chapters and the structure may be described in a fol</w:t>
      </w:r>
      <w:r>
        <w:rPr>
          <w:rFonts w:ascii="Times New Roman" w:eastAsia="Times New Roman" w:hAnsi="Times New Roman" w:cs="Times New Roman"/>
          <w:sz w:val="24"/>
          <w:szCs w:val="24"/>
          <w:lang w:val="en-GB" w:eastAsia="en-US"/>
        </w:rPr>
        <w:t xml:space="preserve">lowing way.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In the Introduction there are identified aim of the research as well as the objectives that have to be met to in order to achieve the indicated aim and the research questions that the author is aiming to provide the answers to thus to achieve </w:t>
      </w:r>
      <w:r>
        <w:rPr>
          <w:rFonts w:ascii="Times New Roman" w:eastAsia="Times New Roman" w:hAnsi="Times New Roman" w:cs="Times New Roman"/>
          <w:sz w:val="24"/>
          <w:szCs w:val="24"/>
          <w:lang w:val="en-GB" w:eastAsia="en-US"/>
        </w:rPr>
        <w:t xml:space="preserve">the identified aim.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first chapter consists of the historical</w:t>
      </w:r>
      <w:r>
        <w:rPr>
          <w:rFonts w:ascii="Times New Roman" w:eastAsia="Times New Roman" w:hAnsi="Times New Roman" w:cs="Times New Roman"/>
          <w:sz w:val="24"/>
          <w:szCs w:val="24"/>
          <w:lang w:val="en-GB" w:eastAsia="en-US"/>
        </w:rPr>
        <w:t xml:space="preserve"> overview</w:t>
      </w:r>
      <w:r>
        <w:rPr>
          <w:rFonts w:ascii="Times New Roman" w:eastAsia="Times New Roman" w:hAnsi="Times New Roman" w:cs="Times New Roman"/>
          <w:sz w:val="24"/>
          <w:szCs w:val="24"/>
          <w:lang w:val="en-GB" w:eastAsia="en-US"/>
        </w:rPr>
        <w:t>. Including an overview of the development of the money laundering process and introduction and development of the preventive to the process legislation in the European Union.</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se</w:t>
      </w:r>
      <w:r>
        <w:rPr>
          <w:rFonts w:ascii="Times New Roman" w:eastAsia="Times New Roman" w:hAnsi="Times New Roman" w:cs="Times New Roman"/>
          <w:sz w:val="24"/>
          <w:szCs w:val="24"/>
          <w:lang w:val="en-GB" w:eastAsia="en-US"/>
        </w:rPr>
        <w:t>cond chapter of the thesis is devoted to a r</w:t>
      </w:r>
      <w:r>
        <w:rPr>
          <w:rFonts w:ascii="Times New Roman" w:eastAsia="Times New Roman" w:hAnsi="Times New Roman" w:cs="Times New Roman"/>
          <w:sz w:val="24"/>
          <w:szCs w:val="24"/>
          <w:lang w:val="en-GB" w:eastAsia="en-US"/>
        </w:rPr>
        <w:t>eview of the definition given to the term Beneficial Owner in European Union</w:t>
      </w:r>
      <w:r>
        <w:rPr>
          <w:rFonts w:ascii="Times New Roman" w:eastAsia="Times New Roman" w:hAnsi="Times New Roman" w:cs="Times New Roman"/>
          <w:sz w:val="24"/>
          <w:szCs w:val="24"/>
          <w:lang w:val="en-GB" w:eastAsia="en-US"/>
        </w:rPr>
        <w:t xml:space="preserve"> Anti Money Laundering</w:t>
      </w:r>
      <w:r>
        <w:rPr>
          <w:rFonts w:ascii="Times New Roman" w:eastAsia="Times New Roman" w:hAnsi="Times New Roman" w:cs="Times New Roman"/>
          <w:sz w:val="24"/>
          <w:szCs w:val="24"/>
          <w:lang w:val="en-GB" w:eastAsia="en-US"/>
        </w:rPr>
        <w:t xml:space="preserve"> Directives</w:t>
      </w:r>
      <w:r>
        <w:rPr>
          <w:rFonts w:ascii="Times New Roman" w:eastAsia="Times New Roman" w:hAnsi="Times New Roman" w:cs="Times New Roman"/>
          <w:sz w:val="24"/>
          <w:szCs w:val="24"/>
          <w:lang w:val="en-GB" w:eastAsia="en-US"/>
        </w:rPr>
        <w:t xml:space="preserve"> including the historical review of the development of the term and analysis of the ammendments made to</w:t>
      </w:r>
      <w:r>
        <w:rPr>
          <w:rFonts w:ascii="Times New Roman" w:eastAsia="Times New Roman" w:hAnsi="Times New Roman" w:cs="Times New Roman"/>
          <w:sz w:val="24"/>
          <w:szCs w:val="24"/>
          <w:lang w:val="en-GB" w:eastAsia="en-US"/>
        </w:rPr>
        <w:t xml:space="preserve"> the definition</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third chapter provide a review of the definition of the term Beneficial Owner in Latvian national Anti Money Laundering legislation as well as specifically identifies what are the exceptions for provision of information regarding the be</w:t>
      </w:r>
      <w:r>
        <w:rPr>
          <w:rFonts w:ascii="Times New Roman" w:eastAsia="Times New Roman" w:hAnsi="Times New Roman" w:cs="Times New Roman"/>
          <w:sz w:val="24"/>
          <w:szCs w:val="24"/>
          <w:lang w:val="en-GB" w:eastAsia="en-US"/>
        </w:rPr>
        <w:t xml:space="preserve">neficial owner ot the entitled authorities, what kind of liability is established in national legislation for commission of money laundering </w:t>
      </w:r>
      <w:r>
        <w:rPr>
          <w:rFonts w:ascii="Times New Roman" w:eastAsia="Times New Roman" w:hAnsi="Times New Roman" w:cs="Times New Roman"/>
          <w:sz w:val="24"/>
          <w:szCs w:val="24"/>
          <w:lang w:val="en-GB" w:eastAsia="en-US"/>
        </w:rPr>
        <w:t>Study of the process of identification of the Beneficial Owner depending on the legal form of business under Latvia</w:t>
      </w:r>
      <w:r>
        <w:rPr>
          <w:rFonts w:ascii="Times New Roman" w:eastAsia="Times New Roman" w:hAnsi="Times New Roman" w:cs="Times New Roman"/>
          <w:sz w:val="24"/>
          <w:szCs w:val="24"/>
          <w:lang w:val="en-GB" w:eastAsia="en-US"/>
        </w:rPr>
        <w:t>n national legislation</w:t>
      </w:r>
      <w:r>
        <w:rPr>
          <w:rFonts w:ascii="Times New Roman" w:eastAsia="Times New Roman" w:hAnsi="Times New Roman" w:cs="Times New Roman"/>
          <w:sz w:val="24"/>
          <w:szCs w:val="24"/>
          <w:lang w:val="en-GB" w:eastAsia="en-US"/>
        </w:rPr>
        <w:t xml:space="preserve"> and obligations put on the legal persons regarding the registration of the beneficial owner in the Enterprise Registry. </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fourth chapter of the thesis reviews the specifics of the beneficial owner identification process under Lat</w:t>
      </w:r>
      <w:r>
        <w:rPr>
          <w:rFonts w:ascii="Times New Roman" w:eastAsia="Times New Roman" w:hAnsi="Times New Roman" w:cs="Times New Roman"/>
          <w:sz w:val="24"/>
          <w:szCs w:val="24"/>
          <w:lang w:val="en-GB" w:eastAsia="en-US"/>
        </w:rPr>
        <w:t xml:space="preserve">vian national Anti Money Laundering legislation depending on the legal form of business as well as a review of cases from Latvian case law on the beneficial ownership.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In the conclusion section of the thesis a brief overview of the research concluded is p</w:t>
      </w:r>
      <w:r>
        <w:rPr>
          <w:rFonts w:ascii="Times New Roman" w:eastAsia="Times New Roman" w:hAnsi="Times New Roman" w:cs="Times New Roman"/>
          <w:sz w:val="24"/>
          <w:szCs w:val="24"/>
          <w:lang w:val="en-GB" w:eastAsia="en-US"/>
        </w:rPr>
        <w:t>rovided along with summed-up answers to the research questions identified in the introduction section. As well as an overall analysis of the work regarding the achievement of the aim of the research and meeting the objectives put forward.</w:t>
      </w:r>
      <w:r>
        <w:rPr>
          <w:rFonts w:ascii="Times New Roman" w:eastAsia="Times New Roman" w:hAnsi="Times New Roman" w:cs="Times New Roman"/>
          <w:sz w:val="24"/>
          <w:szCs w:val="24"/>
          <w:lang w:val="en-GB" w:eastAsia="en-US"/>
        </w:rPr>
        <w:br w:type="page"/>
      </w:r>
    </w:p>
    <w:p w:rsidR="003540B4" w:rsidRDefault="008C0147">
      <w:pPr>
        <w:pStyle w:val="RGSLHeading10"/>
        <w:numPr>
          <w:ilvl w:val="0"/>
          <w:numId w:val="5"/>
        </w:numPr>
        <w:spacing w:line="240" w:lineRule="auto"/>
        <w:ind w:right="709"/>
        <w:rPr>
          <w:rFonts w:ascii="Times New Roman" w:eastAsiaTheme="majorEastAsia" w:hAnsi="Times New Roman" w:hint="default"/>
          <w:color w:val="000000" w:themeColor="text1"/>
          <w:lang w:val="en-GB"/>
        </w:rPr>
      </w:pPr>
      <w:bookmarkStart w:id="15" w:name="_Toc19494"/>
      <w:r>
        <w:rPr>
          <w:rFonts w:ascii="Times New Roman" w:eastAsiaTheme="majorEastAsia" w:hAnsi="Times New Roman"/>
          <w:color w:val="000000" w:themeColor="text1"/>
          <w:lang w:val="en-GB"/>
        </w:rPr>
        <w:t>Money Laundering</w:t>
      </w:r>
      <w:r>
        <w:rPr>
          <w:rFonts w:ascii="Times New Roman" w:eastAsiaTheme="majorEastAsia" w:hAnsi="Times New Roman"/>
          <w:color w:val="000000" w:themeColor="text1"/>
          <w:lang w:val="en-GB"/>
        </w:rPr>
        <w:t xml:space="preserve"> as the process and development of the preventive legislation in the European Union</w:t>
      </w:r>
      <w:bookmarkEnd w:id="15"/>
      <w:r>
        <w:rPr>
          <w:rFonts w:ascii="Times New Roman" w:eastAsiaTheme="majorEastAsia" w:hAnsi="Times New Roman"/>
          <w:color w:val="000000" w:themeColor="text1"/>
          <w:lang w:val="en-GB"/>
        </w:rPr>
        <w:t xml:space="preserve">  </w:t>
      </w:r>
    </w:p>
    <w:p w:rsidR="003540B4" w:rsidRDefault="008C0147">
      <w:pPr>
        <w:spacing w:after="120" w:line="300" w:lineRule="atLeast"/>
        <w:jc w:val="both"/>
        <w:rPr>
          <w:rFonts w:ascii="Times New Roman" w:eastAsiaTheme="majorEastAsia" w:hAnsi="Times New Roman" w:cs="Tahoma"/>
          <w:color w:val="000000" w:themeColor="text1"/>
          <w:sz w:val="24"/>
          <w:szCs w:val="24"/>
          <w:lang w:val="en-GB" w:eastAsia="ru-RU"/>
        </w:rPr>
      </w:pPr>
      <w:r>
        <w:rPr>
          <w:rFonts w:ascii="Times New Roman" w:eastAsiaTheme="majorEastAsia" w:hAnsi="Times New Roman" w:cs="Tahoma"/>
          <w:color w:val="000000" w:themeColor="text1"/>
          <w:sz w:val="24"/>
          <w:szCs w:val="24"/>
          <w:lang w:val="en-GB" w:eastAsia="ru-RU"/>
        </w:rPr>
        <w:t>As it was previously mentioned money laundering as the process itself is not only complicated itself due to the structure ( structure of money laundering process consists</w:t>
      </w:r>
      <w:r>
        <w:rPr>
          <w:rFonts w:ascii="Times New Roman" w:eastAsiaTheme="majorEastAsia" w:hAnsi="Times New Roman" w:cs="Tahoma"/>
          <w:color w:val="000000" w:themeColor="text1"/>
          <w:sz w:val="24"/>
          <w:szCs w:val="24"/>
          <w:lang w:val="en-GB" w:eastAsia="ru-RU"/>
        </w:rPr>
        <w:t xml:space="preserve"> of three stages: placement, layering, integration</w:t>
      </w:r>
      <w:r>
        <w:rPr>
          <w:rFonts w:ascii="Times New Roman" w:eastAsiaTheme="majorEastAsia" w:hAnsi="Times New Roman" w:cs="Tahoma"/>
          <w:color w:val="000000" w:themeColor="text1"/>
          <w:sz w:val="24"/>
          <w:szCs w:val="24"/>
          <w:vertAlign w:val="superscript"/>
          <w:lang w:val="en-GB" w:eastAsia="ru-RU"/>
        </w:rPr>
        <w:footnoteReference w:id="5"/>
      </w:r>
      <w:r>
        <w:rPr>
          <w:rFonts w:ascii="Times New Roman" w:eastAsiaTheme="majorEastAsia" w:hAnsi="Times New Roman" w:cs="Tahoma"/>
          <w:color w:val="000000" w:themeColor="text1"/>
          <w:sz w:val="24"/>
          <w:szCs w:val="24"/>
          <w:lang w:val="en-GB" w:eastAsia="ru-RU"/>
        </w:rPr>
        <w:t xml:space="preserve"> and </w:t>
      </w:r>
      <w:r>
        <w:rPr>
          <w:rFonts w:ascii="Times New Roman" w:eastAsiaTheme="majorEastAsia" w:hAnsi="Times New Roman" w:cs="Tahoma"/>
          <w:color w:val="000000" w:themeColor="text1"/>
          <w:sz w:val="24"/>
          <w:szCs w:val="24"/>
          <w:lang w:val="en-GB" w:eastAsia="ru-RU"/>
        </w:rPr>
        <w:t>within each of these stages multiple actions and transactions may take place) and chain of actions that have to take place in order for such action or transaction to pass unnoticed, it also has a larg</w:t>
      </w:r>
      <w:r>
        <w:rPr>
          <w:rFonts w:ascii="Times New Roman" w:eastAsiaTheme="majorEastAsia" w:hAnsi="Times New Roman" w:cs="Tahoma"/>
          <w:color w:val="000000" w:themeColor="text1"/>
          <w:sz w:val="24"/>
          <w:szCs w:val="24"/>
          <w:lang w:val="en-GB" w:eastAsia="ru-RU"/>
        </w:rPr>
        <w:t>e number of indirect consequences. The aim of this chapter is to review the historical development of modern money laundering, research the definition of the process in the European Union legislative acts as well as the historical development of the respec</w:t>
      </w:r>
      <w:r>
        <w:rPr>
          <w:rFonts w:ascii="Times New Roman" w:eastAsiaTheme="majorEastAsia" w:hAnsi="Times New Roman" w:cs="Tahoma"/>
          <w:color w:val="000000" w:themeColor="text1"/>
          <w:sz w:val="24"/>
          <w:szCs w:val="24"/>
          <w:lang w:val="en-GB" w:eastAsia="ru-RU"/>
        </w:rPr>
        <w:t xml:space="preserve">tive EU legislation in the AML processes field. </w:t>
      </w:r>
    </w:p>
    <w:p w:rsidR="003540B4" w:rsidRDefault="008C0147">
      <w:pPr>
        <w:pStyle w:val="RGSLHeading2"/>
        <w:numPr>
          <w:ilvl w:val="1"/>
          <w:numId w:val="5"/>
        </w:numPr>
        <w:spacing w:line="240" w:lineRule="auto"/>
        <w:ind w:right="709"/>
        <w:rPr>
          <w:rFonts w:ascii="Times New Roman" w:eastAsiaTheme="majorEastAsia" w:hAnsi="Times New Roman" w:hint="default"/>
          <w:color w:val="000000" w:themeColor="text1"/>
          <w:lang w:val="en-GB"/>
        </w:rPr>
      </w:pPr>
      <w:bookmarkStart w:id="16" w:name="_Toc15357"/>
      <w:bookmarkStart w:id="17" w:name="_Toc1721"/>
      <w:r>
        <w:rPr>
          <w:rFonts w:ascii="Times New Roman" w:eastAsiaTheme="majorEastAsia" w:hAnsi="Times New Roman"/>
          <w:color w:val="000000" w:themeColor="text1"/>
          <w:lang w:val="en-GB"/>
        </w:rPr>
        <w:t>Historical overview of the</w:t>
      </w:r>
      <w:r>
        <w:rPr>
          <w:rFonts w:ascii="Times New Roman" w:eastAsiaTheme="majorEastAsia" w:hAnsi="Times New Roman" w:hint="default"/>
          <w:color w:val="000000" w:themeColor="text1"/>
          <w:lang w:val="en-GB"/>
        </w:rPr>
        <w:t xml:space="preserve"> development of the </w:t>
      </w:r>
      <w:r>
        <w:rPr>
          <w:rFonts w:ascii="Times New Roman" w:eastAsiaTheme="majorEastAsia" w:hAnsi="Times New Roman"/>
          <w:color w:val="000000" w:themeColor="text1"/>
          <w:lang w:val="en-GB"/>
        </w:rPr>
        <w:t>Money Laundering</w:t>
      </w:r>
      <w:bookmarkEnd w:id="16"/>
      <w:r>
        <w:rPr>
          <w:rFonts w:ascii="Times New Roman" w:eastAsiaTheme="majorEastAsia" w:hAnsi="Times New Roman" w:hint="default"/>
          <w:color w:val="000000" w:themeColor="text1"/>
          <w:lang w:val="en-GB"/>
        </w:rPr>
        <w:t xml:space="preserve"> process</w:t>
      </w:r>
      <w:bookmarkEnd w:id="17"/>
      <w:r>
        <w:rPr>
          <w:rFonts w:ascii="Times New Roman" w:eastAsiaTheme="majorEastAsia" w:hAnsi="Times New Roman" w:hint="default"/>
          <w:color w:val="000000" w:themeColor="text1"/>
          <w:lang w:val="en-GB"/>
        </w:rPr>
        <w:t xml:space="preserve"> </w:t>
      </w:r>
    </w:p>
    <w:p w:rsidR="003540B4" w:rsidRDefault="008C0147">
      <w:pPr>
        <w:spacing w:after="120" w:line="300" w:lineRule="exact"/>
        <w:jc w:val="both"/>
        <w:rPr>
          <w:rFonts w:ascii="Times New Roman" w:eastAsiaTheme="majorEastAsia" w:hAnsi="Times New Roman" w:cs="Tahoma"/>
          <w:color w:val="000000" w:themeColor="text1"/>
          <w:sz w:val="24"/>
          <w:szCs w:val="28"/>
          <w:lang w:val="en-GB"/>
        </w:rPr>
      </w:pPr>
      <w:r>
        <w:rPr>
          <w:rFonts w:ascii="Times New Roman" w:eastAsiaTheme="majorEastAsia" w:hAnsi="Times New Roman" w:cs="Tahoma"/>
          <w:color w:val="000000" w:themeColor="text1"/>
          <w:sz w:val="24"/>
          <w:szCs w:val="28"/>
        </w:rPr>
        <w:t>Money Laundering as the process and topic related to “political, regulatory, social,</w:t>
      </w:r>
      <w:r>
        <w:rPr>
          <w:rFonts w:ascii="Times New Roman" w:eastAsiaTheme="majorEastAsia" w:hAnsi="Times New Roman" w:cs="Tahoma"/>
          <w:color w:val="000000" w:themeColor="text1"/>
          <w:sz w:val="24"/>
          <w:szCs w:val="28"/>
          <w:lang w:val="en-GB"/>
        </w:rPr>
        <w:t xml:space="preserve"> </w:t>
      </w:r>
      <w:r>
        <w:rPr>
          <w:rFonts w:ascii="Times New Roman" w:eastAsiaTheme="majorEastAsia" w:hAnsi="Times New Roman" w:cs="Tahoma"/>
          <w:color w:val="000000" w:themeColor="text1"/>
          <w:sz w:val="24"/>
          <w:szCs w:val="28"/>
        </w:rPr>
        <w:t xml:space="preserve">criminological, anthropological and economic </w:t>
      </w:r>
      <w:r>
        <w:rPr>
          <w:rFonts w:ascii="Times New Roman" w:eastAsiaTheme="majorEastAsia" w:hAnsi="Times New Roman" w:cs="Tahoma"/>
          <w:color w:val="000000" w:themeColor="text1"/>
          <w:sz w:val="24"/>
          <w:szCs w:val="28"/>
        </w:rPr>
        <w:t>aspects</w:t>
      </w:r>
      <w:r>
        <w:rPr>
          <w:rStyle w:val="FootnoteReference"/>
          <w:rFonts w:ascii="Times New Roman" w:eastAsiaTheme="majorEastAsia" w:hAnsi="Times New Roman" w:cs="Tahoma"/>
          <w:color w:val="000000" w:themeColor="text1"/>
          <w:sz w:val="24"/>
          <w:szCs w:val="28"/>
        </w:rPr>
        <w:footnoteReference w:id="6"/>
      </w:r>
      <w:r>
        <w:rPr>
          <w:rFonts w:ascii="Times New Roman" w:eastAsiaTheme="majorEastAsia" w:hAnsi="Times New Roman" w:cs="Tahoma"/>
          <w:color w:val="000000" w:themeColor="text1"/>
          <w:sz w:val="24"/>
          <w:szCs w:val="28"/>
        </w:rPr>
        <w:t>” has gained its i</w:t>
      </w:r>
      <w:r>
        <w:rPr>
          <w:rFonts w:ascii="Times New Roman" w:eastAsiaTheme="majorEastAsia" w:hAnsi="Times New Roman" w:cs="Tahoma"/>
          <w:color w:val="000000" w:themeColor="text1"/>
          <w:sz w:val="24"/>
          <w:szCs w:val="28"/>
          <w:lang w:val="en-GB"/>
        </w:rPr>
        <w:t>m</w:t>
      </w:r>
      <w:r>
        <w:rPr>
          <w:rFonts w:ascii="Times New Roman" w:eastAsiaTheme="majorEastAsia" w:hAnsi="Times New Roman" w:cs="Tahoma"/>
          <w:color w:val="000000" w:themeColor="text1"/>
          <w:sz w:val="24"/>
          <w:szCs w:val="28"/>
        </w:rPr>
        <w:t>po</w:t>
      </w:r>
      <w:r>
        <w:rPr>
          <w:rFonts w:ascii="Times New Roman" w:eastAsiaTheme="majorEastAsia" w:hAnsi="Times New Roman" w:cs="Tahoma"/>
          <w:color w:val="000000" w:themeColor="text1"/>
          <w:sz w:val="24"/>
          <w:szCs w:val="28"/>
          <w:lang w:val="en-GB"/>
        </w:rPr>
        <w:t>r</w:t>
      </w:r>
      <w:r>
        <w:rPr>
          <w:rFonts w:ascii="Times New Roman" w:eastAsiaTheme="majorEastAsia" w:hAnsi="Times New Roman" w:cs="Tahoma"/>
          <w:color w:val="000000" w:themeColor="text1"/>
          <w:sz w:val="24"/>
          <w:szCs w:val="28"/>
        </w:rPr>
        <w:t>tance in 1980s</w:t>
      </w:r>
      <w:r>
        <w:rPr>
          <w:rFonts w:ascii="Times New Roman" w:eastAsiaTheme="majorEastAsia" w:hAnsi="Times New Roman" w:cs="Tahoma"/>
          <w:color w:val="000000" w:themeColor="text1"/>
          <w:sz w:val="24"/>
          <w:szCs w:val="28"/>
          <w:vertAlign w:val="superscript"/>
        </w:rPr>
        <w:footnoteReference w:id="7"/>
      </w:r>
      <w:r>
        <w:rPr>
          <w:rFonts w:ascii="Times New Roman" w:eastAsiaTheme="majorEastAsia" w:hAnsi="Times New Roman" w:cs="Tahoma"/>
          <w:color w:val="000000" w:themeColor="text1"/>
          <w:sz w:val="24"/>
          <w:szCs w:val="28"/>
        </w:rPr>
        <w:t xml:space="preserve">. </w:t>
      </w:r>
      <w:r>
        <w:rPr>
          <w:rFonts w:ascii="Times New Roman" w:eastAsiaTheme="majorEastAsia" w:hAnsi="Times New Roman" w:cs="Tahoma"/>
          <w:color w:val="000000" w:themeColor="text1"/>
          <w:sz w:val="24"/>
          <w:szCs w:val="28"/>
          <w:lang w:val="en-GB"/>
        </w:rPr>
        <w:t>Even though the process itself dates back to the ancient times, it has been criminalized only</w:t>
      </w:r>
      <w:r>
        <w:rPr>
          <w:rFonts w:ascii="Times New Roman" w:eastAsiaTheme="majorEastAsia" w:hAnsi="Times New Roman" w:cs="Tahoma"/>
          <w:color w:val="000000" w:themeColor="text1"/>
          <w:sz w:val="24"/>
          <w:szCs w:val="28"/>
          <w:lang w:val="lv-LV"/>
        </w:rPr>
        <w:t xml:space="preserve"> comparatively</w:t>
      </w:r>
      <w:r>
        <w:rPr>
          <w:rFonts w:ascii="Times New Roman" w:eastAsiaTheme="majorEastAsia" w:hAnsi="Times New Roman" w:cs="Tahoma"/>
          <w:color w:val="000000" w:themeColor="text1"/>
          <w:sz w:val="24"/>
          <w:szCs w:val="28"/>
          <w:lang w:val="en-GB"/>
        </w:rPr>
        <w:t xml:space="preserve"> recently and thus gained its deserved attention. There exist two theories regarding the appearance of the modern form of money laundering, which is the transfer of the proceeds of the crime. First one identifies Al Capone as the person shaping the process</w:t>
      </w:r>
      <w:r>
        <w:rPr>
          <w:rFonts w:ascii="Times New Roman" w:eastAsiaTheme="majorEastAsia" w:hAnsi="Times New Roman" w:cs="Tahoma"/>
          <w:color w:val="000000" w:themeColor="text1"/>
          <w:sz w:val="24"/>
          <w:szCs w:val="28"/>
          <w:lang w:val="en-GB"/>
        </w:rPr>
        <w:t xml:space="preserve"> as it is commonly viewed nowadays. According to different sources, he has been using the business, which is closely related with cash transfers and payments- launderettes to disguise the illicit origin of the funds coming from illegal sales in times of pr</w:t>
      </w:r>
      <w:r>
        <w:rPr>
          <w:rFonts w:ascii="Times New Roman" w:eastAsiaTheme="majorEastAsia" w:hAnsi="Times New Roman" w:cs="Tahoma"/>
          <w:color w:val="000000" w:themeColor="text1"/>
          <w:sz w:val="24"/>
          <w:szCs w:val="28"/>
          <w:lang w:val="en-GB"/>
        </w:rPr>
        <w:t>ohibition in the 1920s. Even though</w:t>
      </w:r>
      <w:r>
        <w:rPr>
          <w:rFonts w:ascii="Times New Roman" w:eastAsiaTheme="majorEastAsia" w:hAnsi="Times New Roman" w:cs="Tahoma"/>
          <w:color w:val="000000" w:themeColor="text1"/>
          <w:sz w:val="24"/>
          <w:szCs w:val="28"/>
          <w:lang w:val="lv-LV"/>
        </w:rPr>
        <w:t xml:space="preserve"> this fact </w:t>
      </w:r>
      <w:r>
        <w:rPr>
          <w:rFonts w:ascii="Times New Roman" w:eastAsiaTheme="majorEastAsia" w:hAnsi="Times New Roman" w:cs="Tahoma"/>
          <w:color w:val="000000" w:themeColor="text1"/>
          <w:sz w:val="24"/>
          <w:szCs w:val="28"/>
          <w:lang w:val="en-GB"/>
        </w:rPr>
        <w:t>is not proofed till this day, as he was convicted for tax evasion instead of bootlegging. Thus he is often called a pioneer in the field of money laundering as we see it today. Another possible origin of the te</w:t>
      </w:r>
      <w:r>
        <w:rPr>
          <w:rFonts w:ascii="Times New Roman" w:eastAsiaTheme="majorEastAsia" w:hAnsi="Times New Roman" w:cs="Tahoma"/>
          <w:color w:val="000000" w:themeColor="text1"/>
          <w:sz w:val="24"/>
          <w:szCs w:val="28"/>
          <w:lang w:val="en-GB"/>
        </w:rPr>
        <w:t>rm is coming from “washing of coins”. In the 1990s the coins used in the casino were washed in order to prevent visitors from staining their white gloves</w:t>
      </w:r>
      <w:r>
        <w:rPr>
          <w:rFonts w:ascii="Times New Roman" w:eastAsiaTheme="majorEastAsia" w:hAnsi="Times New Roman" w:cs="Tahoma"/>
          <w:color w:val="000000" w:themeColor="text1"/>
          <w:sz w:val="24"/>
          <w:szCs w:val="28"/>
          <w:vertAlign w:val="superscript"/>
          <w:lang w:val="en-GB"/>
        </w:rPr>
        <w:footnoteReference w:id="8"/>
      </w:r>
      <w:r>
        <w:rPr>
          <w:rFonts w:ascii="Times New Roman" w:eastAsiaTheme="majorEastAsia" w:hAnsi="Times New Roman" w:cs="Tahoma"/>
          <w:color w:val="000000" w:themeColor="text1"/>
          <w:sz w:val="24"/>
          <w:szCs w:val="28"/>
          <w:lang w:val="en-GB"/>
        </w:rPr>
        <w:t>. Yet this theory also has not been proven. Even though these historical facts do not give any suffici</w:t>
      </w:r>
      <w:r>
        <w:rPr>
          <w:rFonts w:ascii="Times New Roman" w:eastAsiaTheme="majorEastAsia" w:hAnsi="Times New Roman" w:cs="Tahoma"/>
          <w:color w:val="000000" w:themeColor="text1"/>
          <w:sz w:val="24"/>
          <w:szCs w:val="28"/>
          <w:lang w:val="en-GB"/>
        </w:rPr>
        <w:t>ent information, they identify that the problem itself has only recently become an issue for awareness for the public and governments themselves, following research will also show how rapidly the regulatory norms for prevention of the process have develope</w:t>
      </w:r>
      <w:r>
        <w:rPr>
          <w:rFonts w:ascii="Times New Roman" w:eastAsiaTheme="majorEastAsia" w:hAnsi="Times New Roman" w:cs="Tahoma"/>
          <w:color w:val="000000" w:themeColor="text1"/>
          <w:sz w:val="24"/>
          <w:szCs w:val="28"/>
          <w:lang w:val="en-GB"/>
        </w:rPr>
        <w:t xml:space="preserve">d and become effective. </w:t>
      </w:r>
    </w:p>
    <w:p w:rsidR="003540B4" w:rsidRDefault="008C0147">
      <w:pPr>
        <w:pStyle w:val="RGSLBodywithindentation"/>
        <w:rPr>
          <w:lang w:val="en-GB"/>
        </w:rPr>
      </w:pPr>
      <w:r>
        <w:rPr>
          <w:lang w:val="en-GB"/>
        </w:rPr>
        <w:t>The term</w:t>
      </w:r>
      <w:r>
        <w:rPr>
          <w:lang w:val="lv-LV"/>
        </w:rPr>
        <w:t xml:space="preserve"> “money laundering”</w:t>
      </w:r>
      <w:r>
        <w:rPr>
          <w:lang w:val="en-GB"/>
        </w:rPr>
        <w:t xml:space="preserve"> itself for the first time got introduced to the public and reader in newspapers in articles on the Watergate scandal in the United States in 1973. In the legal field the term has officially appeared in 1982 in the case US v$4,255,625.39 (1982) 551 F Supp3</w:t>
      </w:r>
      <w:r>
        <w:rPr>
          <w:lang w:val="en-GB"/>
        </w:rPr>
        <w:t>14</w:t>
      </w:r>
      <w:r>
        <w:rPr>
          <w:rStyle w:val="FootnoteReference"/>
          <w:lang w:val="en-GB"/>
        </w:rPr>
        <w:footnoteReference w:id="9"/>
      </w:r>
      <w:r>
        <w:rPr>
          <w:lang w:val="en-GB"/>
        </w:rPr>
        <w:t xml:space="preserve">. </w:t>
      </w:r>
    </w:p>
    <w:p w:rsidR="003540B4" w:rsidRDefault="003540B4">
      <w:pPr>
        <w:rPr>
          <w:lang w:val="en-GB"/>
        </w:rPr>
      </w:pPr>
    </w:p>
    <w:p w:rsidR="003540B4" w:rsidRDefault="008C0147">
      <w:pPr>
        <w:pStyle w:val="RGSLHeading2"/>
        <w:numPr>
          <w:ilvl w:val="1"/>
          <w:numId w:val="5"/>
        </w:numPr>
        <w:spacing w:line="240" w:lineRule="auto"/>
        <w:ind w:right="709"/>
        <w:rPr>
          <w:rFonts w:ascii="Times New Roman" w:eastAsiaTheme="majorEastAsia" w:hAnsi="Times New Roman" w:hint="default"/>
          <w:color w:val="000000" w:themeColor="text1"/>
          <w:lang w:val="en-GB"/>
        </w:rPr>
      </w:pPr>
      <w:bookmarkStart w:id="18" w:name="_Toc4202"/>
      <w:r>
        <w:rPr>
          <w:rFonts w:ascii="Times New Roman" w:eastAsiaTheme="majorEastAsia" w:hAnsi="Times New Roman"/>
          <w:color w:val="000000" w:themeColor="text1"/>
          <w:lang w:val="en-GB"/>
        </w:rPr>
        <w:t>Overview of the development of Anti Money Laundering Legislation in the European Union</w:t>
      </w:r>
      <w:bookmarkEnd w:id="18"/>
    </w:p>
    <w:p w:rsidR="003540B4" w:rsidRDefault="008C0147">
      <w:pPr>
        <w:pStyle w:val="RGSLBodywithoutindentation"/>
        <w:rPr>
          <w:lang w:val="en-GB"/>
        </w:rPr>
      </w:pPr>
      <w:r>
        <w:rPr>
          <w:lang w:val="en-GB"/>
        </w:rPr>
        <w:t>The first regulatory norm enforced in the European Union ( further on</w:t>
      </w:r>
      <w:r>
        <w:rPr>
          <w:lang w:val="en-GB"/>
        </w:rPr>
        <w:t xml:space="preserve"> the</w:t>
      </w:r>
      <w:r>
        <w:rPr>
          <w:lang w:val="en-GB"/>
        </w:rPr>
        <w:t xml:space="preserve"> EU)  that had identified money laundering as the subject of </w:t>
      </w:r>
      <w:r>
        <w:rPr>
          <w:lang w:val="en-GB"/>
        </w:rPr>
        <w:t xml:space="preserve">it </w:t>
      </w:r>
      <w:r>
        <w:rPr>
          <w:lang w:val="en-GB"/>
        </w:rPr>
        <w:t xml:space="preserve">was </w:t>
      </w:r>
      <w:r>
        <w:rPr>
          <w:lang w:val="lv-LV"/>
        </w:rPr>
        <w:t xml:space="preserve">a </w:t>
      </w:r>
      <w:r>
        <w:rPr>
          <w:lang w:val="en-GB"/>
        </w:rPr>
        <w:t>Council Directive</w:t>
      </w:r>
      <w:r>
        <w:rPr>
          <w:lang w:val="lv-LV"/>
        </w:rPr>
        <w:t xml:space="preserve"> </w:t>
      </w:r>
      <w:r>
        <w:rPr>
          <w:lang w:val="en-GB"/>
        </w:rPr>
        <w:t>91/308/EEC of 10 June 1991 - Directive on prevention of the use of the financial system for the purpose of money laundering</w:t>
      </w:r>
      <w:r>
        <w:rPr>
          <w:vertAlign w:val="superscript"/>
          <w:lang w:val="en-GB"/>
        </w:rPr>
        <w:footnoteReference w:id="10"/>
      </w:r>
      <w:r>
        <w:rPr>
          <w:lang w:val="en-GB"/>
        </w:rPr>
        <w:t xml:space="preserve">. When defining money laundering in the norm the legislator has closely followed the wording provided for the same term in </w:t>
      </w:r>
      <w:r>
        <w:rPr>
          <w:lang w:val="lv-LV"/>
        </w:rPr>
        <w:t>Vienna Co</w:t>
      </w:r>
      <w:r>
        <w:rPr>
          <w:lang w:val="lv-LV"/>
        </w:rPr>
        <w:t xml:space="preserve">nvention on drug </w:t>
      </w:r>
      <w:r>
        <w:rPr>
          <w:lang w:val="en-GB"/>
        </w:rPr>
        <w:t>trafficking</w:t>
      </w:r>
      <w:r>
        <w:rPr>
          <w:lang w:val="lv-LV"/>
        </w:rPr>
        <w:t xml:space="preserve"> ( </w:t>
      </w:r>
      <w:r>
        <w:rPr>
          <w:lang w:val="en-GB"/>
        </w:rPr>
        <w:t>UNITED NATIONS CONVENTION AGAINST ILLICIT TRAFFIC IN NARCOTIC DRUGS AND PSYCHOTROPIC SUBSTANCES , 1988</w:t>
      </w:r>
      <w:r>
        <w:rPr>
          <w:lang w:val="lv-LV"/>
        </w:rPr>
        <w:t>)</w:t>
      </w:r>
      <w:r>
        <w:rPr>
          <w:lang w:val="en-GB"/>
        </w:rPr>
        <w:t>. According to the Commentary on the United Nations Convention Against Illicit Traffic in Narcotics Drugs and Psychotropic</w:t>
      </w:r>
      <w:r>
        <w:rPr>
          <w:lang w:val="en-GB"/>
        </w:rPr>
        <w:t xml:space="preserve"> Substances specifically article 3 paragraph 1</w:t>
      </w:r>
      <w:r>
        <w:rPr>
          <w:lang w:val="lv-LV"/>
        </w:rPr>
        <w:t>,</w:t>
      </w:r>
      <w:r>
        <w:rPr>
          <w:lang w:val="en-US"/>
        </w:rPr>
        <w:t xml:space="preserve"> </w:t>
      </w:r>
      <w:r>
        <w:rPr>
          <w:lang w:val="en-GB"/>
        </w:rPr>
        <w:t>sub-paragraph b ( also sub-paragraph a) of the Convention are the provisions containing the definition of money laundering. These provisions define the term as</w:t>
      </w:r>
    </w:p>
    <w:p w:rsidR="003540B4" w:rsidRDefault="008C0147">
      <w:pPr>
        <w:pStyle w:val="RGSLQuotes"/>
        <w:rPr>
          <w:rFonts w:eastAsia="Arial" w:cs="Arial"/>
          <w:sz w:val="22"/>
          <w:szCs w:val="22"/>
          <w:lang w:val="en-GB" w:eastAsia="ru-RU"/>
        </w:rPr>
      </w:pPr>
      <w:r>
        <w:rPr>
          <w:rFonts w:eastAsia="Arial" w:cs="Arial"/>
          <w:sz w:val="22"/>
          <w:szCs w:val="22"/>
          <w:lang w:val="en-GB" w:eastAsia="ru-RU"/>
        </w:rPr>
        <w:t>… The acquisition, possession or use of property</w:t>
      </w:r>
      <w:r>
        <w:rPr>
          <w:rFonts w:eastAsia="Arial" w:cs="Arial"/>
          <w:sz w:val="22"/>
          <w:szCs w:val="22"/>
          <w:lang w:val="en-GB" w:eastAsia="ru-RU"/>
        </w:rPr>
        <w:t>, knowing, at the time of receipt, that such property was derived from an offence or offences established in accordance with subparagraph a) of this paragraph or from an act of participation in such offence or offences</w:t>
      </w:r>
      <w:r>
        <w:rPr>
          <w:rFonts w:eastAsia="Arial" w:cs="Arial"/>
          <w:sz w:val="22"/>
          <w:szCs w:val="22"/>
          <w:vertAlign w:val="superscript"/>
          <w:lang w:val="en-GB" w:eastAsia="ru-RU"/>
        </w:rPr>
        <w:footnoteReference w:id="11"/>
      </w:r>
      <w:r>
        <w:rPr>
          <w:rFonts w:eastAsia="Arial" w:cs="Arial"/>
          <w:sz w:val="22"/>
          <w:szCs w:val="22"/>
          <w:lang w:val="en-GB" w:eastAsia="ru-RU"/>
        </w:rPr>
        <w:t xml:space="preserve">. </w:t>
      </w:r>
    </w:p>
    <w:p w:rsidR="003540B4" w:rsidRDefault="008C0147">
      <w:pPr>
        <w:pStyle w:val="RGSLBodywithoutindentation"/>
        <w:rPr>
          <w:lang w:val="en-GB"/>
        </w:rPr>
      </w:pPr>
      <w:r>
        <w:rPr>
          <w:lang w:val="en-GB"/>
        </w:rPr>
        <w:t>Thus it should be highlighted that</w:t>
      </w:r>
      <w:r>
        <w:rPr>
          <w:lang w:val="en-GB"/>
        </w:rPr>
        <w:t xml:space="preserve"> the legislator is specifically determining the intention as a necessary component of the action of laundering. The intention and awareness about illicit origin of the money or property transferred are common to most regulatory norms, as those two concepts</w:t>
      </w:r>
      <w:r>
        <w:rPr>
          <w:lang w:val="en-GB"/>
        </w:rPr>
        <w:t xml:space="preserve"> are closely related and almost non-existent by themselves within the scope of money laundering. As money laundering itself is commonly viewed as the criminal offence, for the purposes of giving an example of aspect of intention being common in national la</w:t>
      </w:r>
      <w:r>
        <w:rPr>
          <w:lang w:val="en-GB"/>
        </w:rPr>
        <w:t xml:space="preserve">ws Section 1 - Basis of Criminal Liability of Chapter 1- General provisions of Criminal Law of Latvia will be cited </w:t>
      </w:r>
    </w:p>
    <w:p w:rsidR="003540B4" w:rsidRDefault="008C0147">
      <w:pPr>
        <w:pStyle w:val="RGSLQuotes"/>
        <w:rPr>
          <w:rFonts w:eastAsia="Arial" w:cs="Arial"/>
          <w:sz w:val="22"/>
          <w:szCs w:val="22"/>
          <w:lang w:val="en-GB" w:eastAsia="ru-RU"/>
        </w:rPr>
      </w:pPr>
      <w:r>
        <w:rPr>
          <w:rFonts w:eastAsia="Arial" w:cs="Arial"/>
          <w:sz w:val="22"/>
          <w:szCs w:val="22"/>
          <w:lang w:val="en-GB" w:eastAsia="ru-RU"/>
        </w:rPr>
        <w:t xml:space="preserve"> Only a person who is guilty of committing a criminal offence, that is, one who deliberately (intentionally) or through negligence has comm</w:t>
      </w:r>
      <w:r>
        <w:rPr>
          <w:rFonts w:eastAsia="Arial" w:cs="Arial"/>
          <w:sz w:val="22"/>
          <w:szCs w:val="22"/>
          <w:lang w:val="en-GB" w:eastAsia="ru-RU"/>
        </w:rPr>
        <w:t>itted an offence which is set out in this Law and which has all the constituent elements of a criminal offence, may be held criminally liable and punished</w:t>
      </w:r>
      <w:r>
        <w:rPr>
          <w:rStyle w:val="FootnoteReference"/>
          <w:rFonts w:eastAsia="Arial" w:cs="Arial"/>
          <w:sz w:val="22"/>
          <w:szCs w:val="22"/>
          <w:lang w:val="en-GB" w:eastAsia="ru-RU"/>
        </w:rPr>
        <w:footnoteReference w:id="12"/>
      </w:r>
      <w:r>
        <w:rPr>
          <w:rFonts w:eastAsia="Arial" w:cs="Arial"/>
          <w:sz w:val="22"/>
          <w:szCs w:val="22"/>
          <w:lang w:val="en-GB" w:eastAsia="ru-RU"/>
        </w:rPr>
        <w:t>.</w:t>
      </w:r>
    </w:p>
    <w:p w:rsidR="003540B4" w:rsidRDefault="008C0147">
      <w:pPr>
        <w:pStyle w:val="RGSLBodywithoutindentation"/>
        <w:rPr>
          <w:lang w:val="en-GB"/>
        </w:rPr>
      </w:pPr>
      <w:r>
        <w:rPr>
          <w:lang w:val="en-GB"/>
        </w:rPr>
        <w:t xml:space="preserve">Thus the Council Directive itself contains a broader definition of the term as it defines the term </w:t>
      </w:r>
      <w:r>
        <w:rPr>
          <w:lang w:val="en-GB"/>
        </w:rPr>
        <w:t xml:space="preserve">as a list of different types of conducts when committed intentionally fitting within the money laundering process. Those are : </w:t>
      </w:r>
    </w:p>
    <w:p w:rsidR="003540B4" w:rsidRDefault="008C0147">
      <w:pPr>
        <w:pStyle w:val="RGSLQuotes"/>
        <w:rPr>
          <w:rFonts w:eastAsia="Arial" w:cs="Arial"/>
          <w:sz w:val="22"/>
          <w:szCs w:val="22"/>
          <w:lang w:val="en-GB" w:eastAsia="ru-RU"/>
        </w:rPr>
      </w:pPr>
      <w:r>
        <w:rPr>
          <w:rFonts w:eastAsia="Arial" w:cs="Arial"/>
          <w:sz w:val="22"/>
          <w:szCs w:val="22"/>
          <w:lang w:val="en-GB" w:eastAsia="ru-RU"/>
        </w:rPr>
        <w:t>- the conversion or transfer of property, knowing that such property is derived from criminal activity or from an act of partici</w:t>
      </w:r>
      <w:r>
        <w:rPr>
          <w:rFonts w:eastAsia="Arial" w:cs="Arial"/>
          <w:sz w:val="22"/>
          <w:szCs w:val="22"/>
          <w:lang w:val="en-GB" w:eastAsia="ru-RU"/>
        </w:rPr>
        <w:t>pation in such activity, for the purpose of concealing or disguising the illicit origin of the property or of assisting any person who is involved in the commission of such activity to evade the legal consequences of his action,</w:t>
      </w:r>
    </w:p>
    <w:p w:rsidR="003540B4" w:rsidRDefault="008C0147">
      <w:pPr>
        <w:pStyle w:val="RGSLQuotes"/>
        <w:rPr>
          <w:rFonts w:eastAsia="Arial" w:cs="Arial"/>
          <w:sz w:val="22"/>
          <w:szCs w:val="22"/>
          <w:lang w:val="en-GB" w:eastAsia="ru-RU"/>
        </w:rPr>
      </w:pPr>
      <w:r>
        <w:rPr>
          <w:rFonts w:eastAsia="Arial" w:cs="Arial"/>
          <w:sz w:val="22"/>
          <w:szCs w:val="22"/>
          <w:lang w:val="en-GB" w:eastAsia="ru-RU"/>
        </w:rPr>
        <w:t>- the concealment or disgui</w:t>
      </w:r>
      <w:r>
        <w:rPr>
          <w:rFonts w:eastAsia="Arial" w:cs="Arial"/>
          <w:sz w:val="22"/>
          <w:szCs w:val="22"/>
          <w:lang w:val="en-GB" w:eastAsia="ru-RU"/>
        </w:rPr>
        <w:t>se of the true nature, source, location, disposition, movement, rights with respect to, or ownership of property, knowing that such property is derived from criminal activity or from an act of participation in such activity,</w:t>
      </w:r>
    </w:p>
    <w:p w:rsidR="003540B4" w:rsidRDefault="008C0147">
      <w:pPr>
        <w:pStyle w:val="RGSLQuotes"/>
        <w:rPr>
          <w:rFonts w:eastAsia="Arial" w:cs="Arial"/>
          <w:sz w:val="22"/>
          <w:szCs w:val="22"/>
          <w:lang w:val="en-GB" w:eastAsia="ru-RU"/>
        </w:rPr>
      </w:pPr>
      <w:r>
        <w:rPr>
          <w:rFonts w:eastAsia="Arial" w:cs="Arial"/>
          <w:sz w:val="22"/>
          <w:szCs w:val="22"/>
          <w:lang w:val="en-GB" w:eastAsia="ru-RU"/>
        </w:rPr>
        <w:t>- the acquisition, possession o</w:t>
      </w:r>
      <w:r>
        <w:rPr>
          <w:rFonts w:eastAsia="Arial" w:cs="Arial"/>
          <w:sz w:val="22"/>
          <w:szCs w:val="22"/>
          <w:lang w:val="en-GB" w:eastAsia="ru-RU"/>
        </w:rPr>
        <w:t>r use of property, knowing, at the time of receipt, that such property was derived from criminal activity or from an act of participation in such activity,</w:t>
      </w:r>
    </w:p>
    <w:p w:rsidR="003540B4" w:rsidRDefault="008C0147">
      <w:pPr>
        <w:pStyle w:val="RGSLQuotes"/>
        <w:rPr>
          <w:rFonts w:eastAsia="Arial" w:cs="Arial"/>
          <w:sz w:val="22"/>
          <w:szCs w:val="22"/>
          <w:lang w:val="en-GB" w:eastAsia="ru-RU"/>
        </w:rPr>
      </w:pPr>
      <w:r>
        <w:rPr>
          <w:rFonts w:eastAsia="Arial" w:cs="Arial"/>
          <w:sz w:val="22"/>
          <w:szCs w:val="22"/>
          <w:lang w:val="en-GB" w:eastAsia="ru-RU"/>
        </w:rPr>
        <w:t>- participation in, association to commit, attempts to commit and aiding, abetting, facilitating and</w:t>
      </w:r>
      <w:r>
        <w:rPr>
          <w:rFonts w:eastAsia="Arial" w:cs="Arial"/>
          <w:sz w:val="22"/>
          <w:szCs w:val="22"/>
          <w:lang w:val="en-GB" w:eastAsia="ru-RU"/>
        </w:rPr>
        <w:t xml:space="preserve"> counselling the commission of any of the actions mentioned in the foregoing paragraphs</w:t>
      </w:r>
      <w:r>
        <w:rPr>
          <w:rFonts w:eastAsia="Arial" w:cs="Arial"/>
          <w:sz w:val="22"/>
          <w:szCs w:val="22"/>
          <w:lang w:val="en-GB" w:eastAsia="ru-RU"/>
        </w:rPr>
        <w:t>.</w:t>
      </w:r>
      <w:r>
        <w:rPr>
          <w:rStyle w:val="FootnoteReference"/>
          <w:rFonts w:eastAsia="Arial" w:cs="Arial"/>
          <w:sz w:val="22"/>
          <w:szCs w:val="22"/>
          <w:lang w:val="en-GB" w:eastAsia="ru-RU"/>
        </w:rPr>
        <w:footnoteReference w:id="13"/>
      </w:r>
    </w:p>
    <w:p w:rsidR="003540B4" w:rsidRDefault="008C0147">
      <w:pPr>
        <w:pStyle w:val="RGSLBodywithoutindentation"/>
        <w:rPr>
          <w:lang w:val="en-GB"/>
        </w:rPr>
      </w:pPr>
      <w:r>
        <w:rPr>
          <w:lang w:val="en-GB"/>
        </w:rPr>
        <w:t xml:space="preserve">Summing up, in order for an action to be qualified as the money laundering in accordance with the provided definition it should be comprised from a number of aspects </w:t>
      </w:r>
      <w:r>
        <w:rPr>
          <w:lang w:val="en-GB"/>
        </w:rPr>
        <w:t>including an action ( “the conversion or transfer, the acquisition, possession or use, participation in […] commission</w:t>
      </w:r>
      <w:r>
        <w:rPr>
          <w:rStyle w:val="FootnoteReference"/>
          <w:lang w:val="en-GB"/>
        </w:rPr>
        <w:footnoteReference w:id="14"/>
      </w:r>
      <w:r>
        <w:rPr>
          <w:lang w:val="en-GB"/>
        </w:rPr>
        <w:t>”) as well, as the awareness of the illicit origin of the property at the time of an committing an action. Thus, if the a person is being</w:t>
      </w:r>
      <w:r>
        <w:rPr>
          <w:lang w:val="en-GB"/>
        </w:rPr>
        <w:t xml:space="preserve"> a part of money laundering scheme, for example a driver, who is transporting someone's property, as a driver might not be in detailed informed about all the property he is transporting , especially, about the origin of such, consequently he should not be </w:t>
      </w:r>
      <w:r>
        <w:rPr>
          <w:lang w:val="en-GB"/>
        </w:rPr>
        <w:t xml:space="preserve">accused of money laundering as he can not be reasonably expected to be informed about the illicit origin of property, even though he is taking a direct physical participation in money laundering scheme. </w:t>
      </w:r>
    </w:p>
    <w:p w:rsidR="003540B4" w:rsidRDefault="008C0147">
      <w:pPr>
        <w:pStyle w:val="RGSLBodywithindentation"/>
        <w:rPr>
          <w:lang w:val="en-GB"/>
        </w:rPr>
      </w:pPr>
      <w:r>
        <w:rPr>
          <w:lang w:val="en-GB"/>
        </w:rPr>
        <w:t xml:space="preserve">Besides providing a list of actions that constitute </w:t>
      </w:r>
      <w:r>
        <w:rPr>
          <w:lang w:val="en-GB"/>
        </w:rPr>
        <w:t xml:space="preserve">an offence of money laundering this section also expressly identifies that intent, knowledge and purpose are necessary requirements for an action to be identified as an offence, yet those elements should be inferred from objective factual circumstances of </w:t>
      </w:r>
      <w:r>
        <w:rPr>
          <w:lang w:val="en-GB"/>
        </w:rPr>
        <w:t xml:space="preserve">the case and reviewed on the case by case basis separately. </w:t>
      </w:r>
    </w:p>
    <w:p w:rsidR="003540B4" w:rsidRDefault="008C0147">
      <w:pPr>
        <w:pStyle w:val="RGSLBodywithindentation"/>
        <w:rPr>
          <w:lang w:val="en-GB"/>
        </w:rPr>
      </w:pPr>
      <w:r>
        <w:rPr>
          <w:lang w:val="en-GB"/>
        </w:rPr>
        <w:t xml:space="preserve">The First Directive was created with a concern aiming at prevention of the use of credit and financial institutions to launder the proceeds of crime. And was implemented as a response to overall </w:t>
      </w:r>
      <w:r>
        <w:rPr>
          <w:lang w:val="en-GB"/>
        </w:rPr>
        <w:t>increasing concerns regarding the use of developing financial system by criminals to disguise the primordial origin of the resources</w:t>
      </w:r>
      <w:r>
        <w:rPr>
          <w:vertAlign w:val="superscript"/>
          <w:lang w:val="en-GB"/>
        </w:rPr>
        <w:footnoteReference w:id="15"/>
      </w:r>
      <w:r>
        <w:rPr>
          <w:lang w:val="en-GB"/>
        </w:rPr>
        <w:t>.</w:t>
      </w:r>
      <w:r>
        <w:rPr>
          <w:lang w:val="en-GB"/>
        </w:rPr>
        <w:t xml:space="preserve"> Following Directives have broadened the scope, brought amendments and updates. As the first Directive in the field it wel</w:t>
      </w:r>
      <w:r>
        <w:rPr>
          <w:lang w:val="en-GB"/>
        </w:rPr>
        <w:t xml:space="preserve">l served as a source providing initial framework for the subsequent development of the legislation in the field. The first Directive established  </w:t>
      </w:r>
    </w:p>
    <w:p w:rsidR="003540B4" w:rsidRDefault="008C0147">
      <w:pPr>
        <w:pStyle w:val="RGSLQuotes"/>
        <w:rPr>
          <w:rFonts w:eastAsia="Arial" w:cs="Arial"/>
          <w:sz w:val="22"/>
          <w:szCs w:val="22"/>
          <w:lang w:val="en-GB" w:eastAsia="ru-RU"/>
        </w:rPr>
      </w:pPr>
      <w:r>
        <w:rPr>
          <w:rFonts w:eastAsia="Arial" w:cs="Arial"/>
          <w:sz w:val="22"/>
          <w:szCs w:val="22"/>
          <w:lang w:val="en-GB" w:eastAsia="ru-RU"/>
        </w:rPr>
        <w:t>key preventative measures such as customer/client identification, record-keeping and central methods of repor</w:t>
      </w:r>
      <w:r>
        <w:rPr>
          <w:rFonts w:eastAsia="Arial" w:cs="Arial"/>
          <w:sz w:val="22"/>
          <w:szCs w:val="22"/>
          <w:lang w:val="en-GB" w:eastAsia="ru-RU"/>
        </w:rPr>
        <w:t>ting suspicious transactions. It was passed to ensure a universal approach was adopted by Member States to combat the problem of money laundering, thus protecting the EU Single Market</w:t>
      </w:r>
      <w:r>
        <w:rPr>
          <w:rFonts w:eastAsia="Arial" w:cs="Arial"/>
          <w:sz w:val="22"/>
          <w:szCs w:val="22"/>
          <w:vertAlign w:val="superscript"/>
          <w:lang w:val="en-GB" w:eastAsia="ru-RU"/>
        </w:rPr>
        <w:footnoteReference w:id="16"/>
      </w:r>
    </w:p>
    <w:p w:rsidR="003540B4" w:rsidRDefault="008C0147">
      <w:pPr>
        <w:spacing w:after="120" w:line="360" w:lineRule="auto"/>
        <w:jc w:val="both"/>
        <w:rPr>
          <w:rFonts w:ascii="Times New Roman" w:eastAsia="Arial" w:hAnsi="Times New Roman" w:cs="Arial"/>
          <w:sz w:val="24"/>
          <w:szCs w:val="22"/>
          <w:lang w:val="en-GB" w:eastAsia="ru-RU"/>
        </w:rPr>
      </w:pPr>
      <w:r>
        <w:rPr>
          <w:rFonts w:ascii="Times New Roman" w:eastAsia="Arial" w:hAnsi="Times New Roman" w:cs="Arial"/>
          <w:sz w:val="24"/>
          <w:szCs w:val="22"/>
          <w:lang w:val="en-GB" w:eastAsia="ru-RU"/>
        </w:rPr>
        <w:t>Later on were implemented Directives:</w:t>
      </w:r>
    </w:p>
    <w:p w:rsidR="003540B4" w:rsidRDefault="008C0147">
      <w:pPr>
        <w:numPr>
          <w:ilvl w:val="0"/>
          <w:numId w:val="6"/>
        </w:numPr>
        <w:spacing w:after="120" w:line="360" w:lineRule="auto"/>
        <w:jc w:val="both"/>
        <w:rPr>
          <w:rFonts w:ascii="Times New Roman" w:eastAsia="Arial" w:hAnsi="Times New Roman" w:cs="Arial"/>
          <w:sz w:val="24"/>
          <w:szCs w:val="22"/>
          <w:lang w:val="en-GB" w:eastAsia="ru-RU"/>
        </w:rPr>
      </w:pPr>
      <w:r>
        <w:rPr>
          <w:rFonts w:ascii="Times New Roman" w:eastAsia="Arial" w:hAnsi="Times New Roman" w:cs="Arial"/>
          <w:sz w:val="24"/>
          <w:szCs w:val="22"/>
          <w:lang w:val="en-GB" w:eastAsia="ru-RU"/>
        </w:rPr>
        <w:t xml:space="preserve"> Directive 2001/97/EC of the Euro</w:t>
      </w:r>
      <w:r>
        <w:rPr>
          <w:rFonts w:ascii="Times New Roman" w:eastAsia="Arial" w:hAnsi="Times New Roman" w:cs="Arial"/>
          <w:sz w:val="24"/>
          <w:szCs w:val="22"/>
          <w:lang w:val="en-GB" w:eastAsia="ru-RU"/>
        </w:rPr>
        <w:t xml:space="preserve">pean Parliament and of the Council of 4 December 2001, </w:t>
      </w:r>
    </w:p>
    <w:p w:rsidR="003540B4" w:rsidRDefault="008C0147">
      <w:pPr>
        <w:numPr>
          <w:ilvl w:val="0"/>
          <w:numId w:val="6"/>
        </w:numPr>
        <w:spacing w:after="120" w:line="360" w:lineRule="auto"/>
        <w:jc w:val="both"/>
        <w:rPr>
          <w:rFonts w:ascii="Times New Roman" w:eastAsia="Arial" w:hAnsi="Times New Roman" w:cs="Arial"/>
          <w:sz w:val="24"/>
          <w:szCs w:val="22"/>
          <w:lang w:val="en-GB" w:eastAsia="ru-RU"/>
        </w:rPr>
      </w:pPr>
      <w:r>
        <w:rPr>
          <w:rFonts w:ascii="Times New Roman" w:eastAsia="Arial" w:hAnsi="Times New Roman" w:cs="Arial"/>
          <w:sz w:val="24"/>
          <w:szCs w:val="22"/>
          <w:lang w:val="en-GB" w:eastAsia="ru-RU"/>
        </w:rPr>
        <w:t xml:space="preserve">Directive 2005/60/EC of the European Parliament and of the Council of 26 October 2005 on the prevention of the use of the financial system for the purpose of money laundering and terrorist financing, </w:t>
      </w:r>
    </w:p>
    <w:p w:rsidR="003540B4" w:rsidRDefault="008C0147">
      <w:pPr>
        <w:numPr>
          <w:ilvl w:val="0"/>
          <w:numId w:val="6"/>
        </w:numPr>
        <w:spacing w:after="120" w:line="360" w:lineRule="auto"/>
        <w:jc w:val="both"/>
        <w:rPr>
          <w:rFonts w:ascii="Times New Roman" w:eastAsia="Arial" w:hAnsi="Times New Roman" w:cs="Arial"/>
          <w:sz w:val="24"/>
          <w:szCs w:val="22"/>
          <w:lang w:val="en-GB" w:eastAsia="ru-RU"/>
        </w:rPr>
      </w:pPr>
      <w:r>
        <w:rPr>
          <w:rFonts w:ascii="Times New Roman" w:eastAsia="Arial" w:hAnsi="Times New Roman" w:cs="Arial"/>
          <w:sz w:val="24"/>
          <w:szCs w:val="22"/>
          <w:lang w:val="en-GB" w:eastAsia="ru-RU"/>
        </w:rPr>
        <w:t xml:space="preserve">Directive (EU) 2015/849 of the European Parliament and of the Council of 20 May 2015 on the prevention of the use of the financial system for the purposes of money laundering or terrorist financing, </w:t>
      </w:r>
    </w:p>
    <w:p w:rsidR="003540B4" w:rsidRDefault="008C0147">
      <w:pPr>
        <w:numPr>
          <w:ilvl w:val="0"/>
          <w:numId w:val="6"/>
        </w:numPr>
        <w:spacing w:after="120" w:line="360" w:lineRule="auto"/>
        <w:jc w:val="both"/>
        <w:rPr>
          <w:rFonts w:ascii="Times New Roman" w:eastAsia="Arial" w:hAnsi="Times New Roman" w:cs="Arial"/>
          <w:sz w:val="24"/>
          <w:szCs w:val="22"/>
          <w:lang w:val="en-GB" w:eastAsia="ru-RU"/>
        </w:rPr>
      </w:pPr>
      <w:r>
        <w:rPr>
          <w:rFonts w:ascii="Times New Roman" w:eastAsia="Arial" w:hAnsi="Times New Roman" w:cs="Arial"/>
          <w:sz w:val="24"/>
          <w:szCs w:val="22"/>
          <w:lang w:val="en-GB" w:eastAsia="ru-RU"/>
        </w:rPr>
        <w:t xml:space="preserve">Directive (EU) 2018/843 of the European Parliament and </w:t>
      </w:r>
      <w:r>
        <w:rPr>
          <w:rFonts w:ascii="Times New Roman" w:eastAsia="Arial" w:hAnsi="Times New Roman" w:cs="Arial"/>
          <w:sz w:val="24"/>
          <w:szCs w:val="22"/>
          <w:lang w:val="en-GB" w:eastAsia="ru-RU"/>
        </w:rPr>
        <w:t xml:space="preserve">of the Council of 30 May 2018. And 6th Anti-Money Laundering Directive </w:t>
      </w:r>
    </w:p>
    <w:p w:rsidR="003540B4" w:rsidRDefault="008C0147">
      <w:pPr>
        <w:pStyle w:val="RGSLBodywithoutindentation"/>
        <w:rPr>
          <w:lang w:val="en-GB"/>
        </w:rPr>
      </w:pPr>
      <w:r>
        <w:rPr>
          <w:lang w:val="en-GB"/>
        </w:rPr>
        <w:t>To sum up, over the period of past 30 years in the European Union have been enforced many Directives regulating the field of Money Laundering, yet along with the development of the leg</w:t>
      </w:r>
      <w:r>
        <w:rPr>
          <w:lang w:val="en-GB"/>
        </w:rPr>
        <w:t xml:space="preserve">islation in the field the schemes and ways of money laundering used by criminals also continuously evolve and develop.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Money laundering, as the process itself is a separate type of crime, as itself does not have any clear effect, for example in case of </w:t>
      </w:r>
      <w:r>
        <w:rPr>
          <w:rFonts w:ascii="Times New Roman" w:eastAsia="Times New Roman" w:hAnsi="Times New Roman" w:cs="Times New Roman"/>
          <w:sz w:val="24"/>
          <w:szCs w:val="24"/>
          <w:lang w:val="en-GB" w:eastAsia="en-US"/>
        </w:rPr>
        <w:t>theft a person is loosing possession over certain object, in case of murder a dead body is left as a consequence. Yet the aim of a successful money laundering scheme is to pass unnoticed</w:t>
      </w:r>
      <w:r>
        <w:rPr>
          <w:rFonts w:ascii="Times New Roman" w:eastAsia="Times New Roman" w:hAnsi="Times New Roman" w:cs="Times New Roman"/>
          <w:sz w:val="24"/>
          <w:szCs w:val="24"/>
          <w:vertAlign w:val="superscript"/>
          <w:lang w:val="en-GB" w:eastAsia="en-US"/>
        </w:rPr>
        <w:footnoteReference w:id="17"/>
      </w:r>
      <w:r>
        <w:rPr>
          <w:rFonts w:ascii="Times New Roman" w:eastAsia="Times New Roman" w:hAnsi="Times New Roman" w:cs="Times New Roman"/>
          <w:sz w:val="24"/>
          <w:szCs w:val="24"/>
          <w:lang w:val="en-GB" w:eastAsia="en-US"/>
        </w:rPr>
        <w:t xml:space="preserve"> and leave a minimal trace that will not attract attention to the tra</w:t>
      </w:r>
      <w:r>
        <w:rPr>
          <w:rFonts w:ascii="Times New Roman" w:eastAsia="Times New Roman" w:hAnsi="Times New Roman" w:cs="Times New Roman"/>
          <w:sz w:val="24"/>
          <w:szCs w:val="24"/>
          <w:lang w:val="en-GB" w:eastAsia="en-US"/>
        </w:rPr>
        <w:t>nsfer or transactions. Thus constituting money laundering as an invisible crime</w:t>
      </w:r>
      <w:r>
        <w:rPr>
          <w:rStyle w:val="FootnoteReference"/>
          <w:rFonts w:ascii="Times New Roman" w:eastAsia="Times New Roman" w:hAnsi="Times New Roman" w:cs="Times New Roman"/>
          <w:sz w:val="24"/>
          <w:szCs w:val="24"/>
          <w:lang w:val="en-GB" w:eastAsia="en-US"/>
        </w:rPr>
        <w:footnoteReference w:id="18"/>
      </w:r>
      <w:r>
        <w:rPr>
          <w:rFonts w:ascii="Times New Roman" w:eastAsia="Times New Roman" w:hAnsi="Times New Roman" w:cs="Times New Roman"/>
          <w:sz w:val="24"/>
          <w:szCs w:val="24"/>
          <w:lang w:val="en-GB" w:eastAsia="en-US"/>
        </w:rPr>
        <w:t xml:space="preserve">. </w:t>
      </w:r>
    </w:p>
    <w:p w:rsidR="003540B4" w:rsidRDefault="008C0147">
      <w:pPr>
        <w:pStyle w:val="RGSLBodywithindentation"/>
        <w:rPr>
          <w:lang w:val="en-GB"/>
        </w:rPr>
      </w:pPr>
      <w:r>
        <w:rPr>
          <w:lang w:val="en-GB"/>
        </w:rPr>
        <w:t>Even though, the consequences of different types of crimes, could barely be compared, as those commonly contain a personal aspect, for example a personal affection. The mone</w:t>
      </w:r>
      <w:r>
        <w:rPr>
          <w:lang w:val="en-GB"/>
        </w:rPr>
        <w:t>y laundering could be identified as the crime with numerous direct and indirect consequences affecting the financial system overall as well as many other spheres, including giving rise to “corruption of the financial services industry, the government burea</w:t>
      </w:r>
      <w:r>
        <w:rPr>
          <w:lang w:val="en-GB"/>
        </w:rPr>
        <w:t>ucracy, and all three branches of government foremost</w:t>
      </w:r>
      <w:r>
        <w:rPr>
          <w:vertAlign w:val="superscript"/>
          <w:lang w:val="en-GB"/>
        </w:rPr>
        <w:footnoteReference w:id="19"/>
      </w:r>
      <w:r>
        <w:rPr>
          <w:lang w:val="en-GB"/>
        </w:rPr>
        <w:t>”. As regards for indirect consequences of money laundering there</w:t>
      </w:r>
      <w:r>
        <w:rPr>
          <w:lang w:val="en-GB"/>
        </w:rPr>
        <w:t xml:space="preserve"> are</w:t>
      </w:r>
      <w:r>
        <w:rPr>
          <w:lang w:val="en-GB"/>
        </w:rPr>
        <w:t xml:space="preserve"> around 24 indirect consequences of money laundering including artificial increases in prices, distortion of competition, higher capi</w:t>
      </w:r>
      <w:r>
        <w:rPr>
          <w:lang w:val="en-GB"/>
        </w:rPr>
        <w:t>tal inflows/ outflows and many others</w:t>
      </w:r>
      <w:r>
        <w:rPr>
          <w:vertAlign w:val="superscript"/>
          <w:lang w:val="en-GB"/>
        </w:rPr>
        <w:footnoteReference w:id="20"/>
      </w:r>
      <w:r>
        <w:rPr>
          <w:lang w:val="en-GB"/>
        </w:rPr>
        <w:t>. ( see Research Handbook on Money Laundering by Brigitte Ynder, Daan van der Linde. page 36)</w:t>
      </w:r>
      <w:r>
        <w:rPr>
          <w:vertAlign w:val="superscript"/>
          <w:lang w:val="en-GB"/>
        </w:rPr>
        <w:footnoteReference w:id="21"/>
      </w:r>
      <w:r>
        <w:rPr>
          <w:lang w:val="en-GB"/>
        </w:rPr>
        <w:t>.</w:t>
      </w:r>
    </w:p>
    <w:p w:rsidR="003540B4" w:rsidRDefault="008C0147">
      <w:pPr>
        <w:pStyle w:val="RGSLBodywithindentation"/>
        <w:rPr>
          <w:lang w:val="lv-LV"/>
        </w:rPr>
      </w:pPr>
      <w:r>
        <w:rPr>
          <w:lang w:val="lv-LV"/>
        </w:rPr>
        <w:t xml:space="preserve">In regards to proceeds of crime being given the definition within the scope of the topic and money laundering as the </w:t>
      </w:r>
      <w:r>
        <w:rPr>
          <w:lang w:val="lv-LV"/>
        </w:rPr>
        <w:t>process itself, it could be defined as “</w:t>
      </w:r>
      <w:r>
        <w:rPr>
          <w:lang w:val="en-GB"/>
        </w:rPr>
        <w:t xml:space="preserve"> any property derived from or obtained, directly or indirectly, through the commission of an offence</w:t>
      </w:r>
      <w:r>
        <w:rPr>
          <w:vertAlign w:val="superscript"/>
          <w:lang w:val="en-GB"/>
        </w:rPr>
        <w:footnoteReference w:id="22"/>
      </w:r>
      <w:r>
        <w:rPr>
          <w:lang w:val="lv-LV"/>
        </w:rPr>
        <w:t>”</w:t>
      </w:r>
    </w:p>
    <w:p w:rsidR="003540B4" w:rsidRDefault="008C0147">
      <w:pPr>
        <w:pStyle w:val="RGSLBodywithindentation"/>
        <w:rPr>
          <w:lang w:val="en-GB"/>
        </w:rPr>
      </w:pPr>
      <w:r>
        <w:rPr>
          <w:lang w:val="en-GB"/>
        </w:rPr>
        <w:t>For the purposes of fighting money laundering directives have introduced a term beneficial owner and such process</w:t>
      </w:r>
      <w:r>
        <w:rPr>
          <w:lang w:val="en-GB"/>
        </w:rPr>
        <w:t>, as customer due diligence, which is the research processes</w:t>
      </w:r>
      <w:r>
        <w:rPr>
          <w:lang w:val="lv-LV"/>
        </w:rPr>
        <w:t xml:space="preserve"> performed by institutions</w:t>
      </w:r>
      <w:r>
        <w:rPr>
          <w:lang w:val="en-GB"/>
        </w:rPr>
        <w:t xml:space="preserve"> on the basis of obligation implied by respective laws</w:t>
      </w:r>
      <w:r>
        <w:rPr>
          <w:lang w:val="lv-LV"/>
        </w:rPr>
        <w:t xml:space="preserve"> and is</w:t>
      </w:r>
      <w:r>
        <w:rPr>
          <w:lang w:val="en-GB"/>
        </w:rPr>
        <w:t xml:space="preserve"> aiming at identification of a true beneficial owner behind the organisation or corporation to disclose for w</w:t>
      </w:r>
      <w:r>
        <w:rPr>
          <w:lang w:val="en-GB"/>
        </w:rPr>
        <w:t>hose benefit the organisation is conducting activities. As such the Customer Due Diligence process consists of multiple actions including: “</w:t>
      </w:r>
      <w:r>
        <w:t xml:space="preserve"> Verification of Identity</w:t>
      </w:r>
      <w:r>
        <w:rPr>
          <w:lang w:val="en-GB"/>
        </w:rPr>
        <w:t xml:space="preserve">, </w:t>
      </w:r>
      <w:r>
        <w:t>Identifying Beneficial Owner</w:t>
      </w:r>
      <w:r>
        <w:rPr>
          <w:lang w:val="en-GB"/>
        </w:rPr>
        <w:t xml:space="preserve">, </w:t>
      </w:r>
      <w:r>
        <w:t>Purpose + Nature of business relationship</w:t>
      </w:r>
      <w:r>
        <w:rPr>
          <w:lang w:val="en-GB"/>
        </w:rPr>
        <w:t xml:space="preserve">, </w:t>
      </w:r>
      <w:r>
        <w:t>Ongoing monitori</w:t>
      </w:r>
      <w:r>
        <w:t>ng</w:t>
      </w:r>
      <w:r>
        <w:rPr>
          <w:vertAlign w:val="superscript"/>
        </w:rPr>
        <w:footnoteReference w:id="23"/>
      </w:r>
      <w:r>
        <w:rPr>
          <w:lang w:val="en-GB"/>
        </w:rPr>
        <w:t>”. And was introduced because criminals and criminal organisations often use companies or corporate entities to disguise the illicit origin of funds or property they are using or transferring</w:t>
      </w:r>
      <w:r>
        <w:rPr>
          <w:vertAlign w:val="superscript"/>
          <w:lang w:val="en-GB"/>
        </w:rPr>
        <w:footnoteReference w:id="24"/>
      </w:r>
      <w:r>
        <w:rPr>
          <w:lang w:val="en-GB"/>
        </w:rPr>
        <w:t xml:space="preserve">. In order to fight the criminal activity the AML Directive </w:t>
      </w:r>
      <w:r>
        <w:t>2</w:t>
      </w:r>
      <w:r>
        <w:t>005/60/EC</w:t>
      </w:r>
      <w:r>
        <w:rPr>
          <w:lang w:val="en-GB"/>
        </w:rPr>
        <w:t xml:space="preserve"> has imposed an obligation on banks, auditors, accountants lawyers and notaries when implementing a customer due diligence process to take a</w:t>
      </w:r>
      <w:r>
        <w:t xml:space="preserve"> </w:t>
      </w:r>
      <w:r>
        <w:rPr>
          <w:lang w:val="en-GB"/>
        </w:rPr>
        <w:t>“</w:t>
      </w:r>
      <w:r>
        <w:t>risk-based and adequate measures to verify his identity</w:t>
      </w:r>
      <w:r>
        <w:rPr>
          <w:vertAlign w:val="superscript"/>
        </w:rPr>
        <w:footnoteReference w:id="25"/>
      </w:r>
      <w:r>
        <w:rPr>
          <w:lang w:val="en-GB"/>
        </w:rPr>
        <w:t>” by “his” in the context of this article benefic</w:t>
      </w:r>
      <w:r>
        <w:rPr>
          <w:lang w:val="en-GB"/>
        </w:rPr>
        <w:t>ial owner is meant</w:t>
      </w:r>
      <w:r>
        <w:rPr>
          <w:vertAlign w:val="superscript"/>
          <w:lang w:val="en-GB"/>
        </w:rPr>
        <w:footnoteReference w:id="26"/>
      </w:r>
      <w:r>
        <w:rPr>
          <w:lang w:val="en-GB"/>
        </w:rPr>
        <w:t>. Such disclosure allows to monitor the actions of legal and natural persons, to further on identify the money laundering processes and later on implement respective punishment to persons involved in such activities.</w:t>
      </w:r>
    </w:p>
    <w:p w:rsidR="003540B4" w:rsidRDefault="008C0147">
      <w:pPr>
        <w:pStyle w:val="RGSLBodywithindentation"/>
        <w:rPr>
          <w:lang w:val="en-GB"/>
        </w:rPr>
      </w:pPr>
      <w:r>
        <w:rPr>
          <w:lang w:val="en-GB"/>
        </w:rPr>
        <w:t>Further on in the te</w:t>
      </w:r>
      <w:r>
        <w:rPr>
          <w:lang w:val="en-GB"/>
        </w:rPr>
        <w:t xml:space="preserve">xt the author will elaborate on the development of the term beneficial owner in European Union Anti Money laundering directives as well as the obligations that are related to the beneficial owner investigation and disclosure. </w:t>
      </w:r>
    </w:p>
    <w:p w:rsidR="003540B4" w:rsidRDefault="008C0147">
      <w:pPr>
        <w:rPr>
          <w:rFonts w:ascii="Times New Roman" w:hAnsi="Times New Roman" w:cs="Times New Roman"/>
          <w:color w:val="444444"/>
          <w:sz w:val="24"/>
          <w:szCs w:val="24"/>
          <w:shd w:val="clear" w:color="auto" w:fill="FFFFFF"/>
          <w:lang w:val="en-GB"/>
        </w:rPr>
      </w:pPr>
      <w:r>
        <w:rPr>
          <w:rFonts w:ascii="Times New Roman" w:hAnsi="Times New Roman" w:cs="Times New Roman"/>
          <w:color w:val="444444"/>
          <w:sz w:val="24"/>
          <w:szCs w:val="24"/>
          <w:shd w:val="clear" w:color="auto" w:fill="FFFFFF"/>
          <w:lang w:val="en-GB"/>
        </w:rPr>
        <w:br w:type="page"/>
      </w:r>
    </w:p>
    <w:p w:rsidR="003540B4" w:rsidRDefault="008C0147">
      <w:pPr>
        <w:pStyle w:val="RGSLheading11"/>
        <w:numPr>
          <w:ilvl w:val="0"/>
          <w:numId w:val="5"/>
        </w:numPr>
        <w:spacing w:line="240" w:lineRule="auto"/>
        <w:ind w:left="1287" w:right="709" w:hanging="720"/>
        <w:rPr>
          <w:rFonts w:ascii="Times New Roman" w:eastAsiaTheme="majorEastAsia" w:hAnsi="Times New Roman" w:hint="default"/>
          <w:color w:val="000000" w:themeColor="text1"/>
          <w:lang w:val="en-GB" w:eastAsia="ru-RU"/>
        </w:rPr>
      </w:pPr>
      <w:bookmarkStart w:id="19" w:name="_Toc21769"/>
      <w:r>
        <w:rPr>
          <w:rFonts w:ascii="Times New Roman" w:eastAsiaTheme="majorEastAsia" w:hAnsi="Times New Roman"/>
          <w:color w:val="000000" w:themeColor="text1"/>
          <w:lang w:val="en-GB" w:eastAsia="ru-RU"/>
        </w:rPr>
        <w:t xml:space="preserve">Definition of </w:t>
      </w:r>
      <w:r>
        <w:rPr>
          <w:rFonts w:ascii="Times New Roman" w:eastAsiaTheme="majorEastAsia" w:hAnsi="Times New Roman"/>
          <w:color w:val="000000" w:themeColor="text1"/>
          <w:lang w:val="en-GB" w:eastAsia="ru-RU"/>
        </w:rPr>
        <w:t>“</w:t>
      </w:r>
      <w:r>
        <w:rPr>
          <w:rFonts w:ascii="Times New Roman" w:eastAsiaTheme="majorEastAsia" w:hAnsi="Times New Roman"/>
          <w:color w:val="000000" w:themeColor="text1"/>
          <w:lang w:val="en-GB" w:eastAsia="ru-RU"/>
        </w:rPr>
        <w:t>Beneficial Owner</w:t>
      </w:r>
      <w:r>
        <w:rPr>
          <w:rFonts w:ascii="Times New Roman" w:eastAsiaTheme="majorEastAsia" w:hAnsi="Times New Roman"/>
          <w:color w:val="000000" w:themeColor="text1"/>
          <w:lang w:val="en-GB" w:eastAsia="ru-RU"/>
        </w:rPr>
        <w:t>”</w:t>
      </w:r>
      <w:r>
        <w:rPr>
          <w:rFonts w:ascii="Times New Roman" w:eastAsiaTheme="majorEastAsia" w:hAnsi="Times New Roman"/>
          <w:color w:val="000000" w:themeColor="text1"/>
          <w:lang w:val="en-GB" w:eastAsia="ru-RU"/>
        </w:rPr>
        <w:t xml:space="preserve"> in </w:t>
      </w:r>
      <w:r>
        <w:rPr>
          <w:rFonts w:ascii="Times New Roman" w:eastAsiaTheme="majorEastAsia" w:hAnsi="Times New Roman" w:hint="default"/>
          <w:color w:val="000000" w:themeColor="text1"/>
          <w:lang w:val="en-GB" w:eastAsia="ru-RU"/>
        </w:rPr>
        <w:t xml:space="preserve">the </w:t>
      </w:r>
      <w:r>
        <w:rPr>
          <w:rFonts w:ascii="Times New Roman" w:eastAsiaTheme="majorEastAsia" w:hAnsi="Times New Roman"/>
          <w:color w:val="000000" w:themeColor="text1"/>
          <w:lang w:val="en-GB" w:eastAsia="ru-RU"/>
        </w:rPr>
        <w:t>European Union Legislation</w:t>
      </w:r>
      <w:bookmarkEnd w:id="19"/>
      <w:r>
        <w:rPr>
          <w:rFonts w:ascii="Times New Roman" w:eastAsiaTheme="majorEastAsia" w:hAnsi="Times New Roman"/>
          <w:color w:val="000000" w:themeColor="text1"/>
          <w:lang w:val="en-GB" w:eastAsia="ru-RU"/>
        </w:rPr>
        <w:t xml:space="preserve"> </w:t>
      </w:r>
    </w:p>
    <w:p w:rsidR="003540B4" w:rsidRDefault="008C0147">
      <w:pPr>
        <w:pStyle w:val="NormalWeb"/>
        <w:shd w:val="clear" w:color="auto" w:fill="FFFFFF"/>
        <w:spacing w:before="100" w:beforeAutospacing="0" w:after="120" w:afterAutospacing="0" w:line="300" w:lineRule="exact"/>
        <w:jc w:val="both"/>
        <w:rPr>
          <w:rFonts w:eastAsia="Segoe UI"/>
          <w:color w:val="444444"/>
          <w:shd w:val="clear" w:color="auto" w:fill="FFFFFF"/>
          <w:lang w:val="en-GB"/>
        </w:rPr>
      </w:pPr>
      <w:r>
        <w:rPr>
          <w:rFonts w:eastAsia="Times New Roman"/>
          <w:lang w:val="en-GB" w:eastAsia="en-US"/>
        </w:rPr>
        <w:t>The term beneficial owner is commonly mentioned in relation to taxation, yet the aim and purpose of this research paper is to define its scope of applicability of the term within Anti-Mone</w:t>
      </w:r>
      <w:r>
        <w:rPr>
          <w:rFonts w:eastAsia="Times New Roman"/>
          <w:lang w:val="en-GB" w:eastAsia="en-US"/>
        </w:rPr>
        <w:t>y Laundering Legislation.</w:t>
      </w:r>
      <w:r>
        <w:rPr>
          <w:rFonts w:eastAsia="Segoe UI"/>
          <w:color w:val="444444"/>
          <w:shd w:val="clear" w:color="auto" w:fill="FFFFFF"/>
          <w:lang w:val="en-GB"/>
        </w:rPr>
        <w:t xml:space="preserve"> </w:t>
      </w:r>
    </w:p>
    <w:p w:rsidR="003540B4" w:rsidRDefault="008C0147">
      <w:pPr>
        <w:pStyle w:val="RGSLBodywithindentation"/>
        <w:rPr>
          <w:lang w:val="lv-LV"/>
        </w:rPr>
      </w:pPr>
      <w:r>
        <w:rPr>
          <w:lang w:val="lv-LV"/>
        </w:rPr>
        <w:t xml:space="preserve">The term and </w:t>
      </w:r>
      <w:r>
        <w:rPr>
          <w:lang w:val="en-GB"/>
        </w:rPr>
        <w:t>concept</w:t>
      </w:r>
      <w:r>
        <w:rPr>
          <w:lang w:val="lv-LV"/>
        </w:rPr>
        <w:t xml:space="preserve"> of a “beneficial owner”</w:t>
      </w:r>
      <w:r>
        <w:rPr>
          <w:lang w:val="en-GB"/>
        </w:rPr>
        <w:t xml:space="preserve"> </w:t>
      </w:r>
      <w:r>
        <w:rPr>
          <w:lang w:val="lv-LV"/>
        </w:rPr>
        <w:t xml:space="preserve">has been introduced and developed in the United Kingdom at the </w:t>
      </w:r>
      <w:r>
        <w:rPr>
          <w:lang w:val="en-GB"/>
        </w:rPr>
        <w:t>process</w:t>
      </w:r>
      <w:r>
        <w:rPr>
          <w:lang w:val="lv-LV"/>
        </w:rPr>
        <w:t xml:space="preserve"> of </w:t>
      </w:r>
      <w:r>
        <w:rPr>
          <w:lang w:val="en-GB"/>
        </w:rPr>
        <w:t xml:space="preserve">evolution </w:t>
      </w:r>
      <w:r>
        <w:rPr>
          <w:lang w:val="lv-LV"/>
        </w:rPr>
        <w:t xml:space="preserve">of trust law. There have been introduced two types of ownership- legal and beneficial. Even though the term </w:t>
      </w:r>
      <w:r>
        <w:rPr>
          <w:lang w:val="en-GB"/>
        </w:rPr>
        <w:t xml:space="preserve">nowadays </w:t>
      </w:r>
      <w:r>
        <w:rPr>
          <w:lang w:val="lv-LV"/>
        </w:rPr>
        <w:t>is used in different legal fields the essence remains the same, it refers to “person who ultimately controls an asse</w:t>
      </w:r>
      <w:r>
        <w:rPr>
          <w:lang w:val="en-GB"/>
        </w:rPr>
        <w:t>t</w:t>
      </w:r>
      <w:r>
        <w:rPr>
          <w:lang w:val="lv-LV"/>
        </w:rPr>
        <w:t xml:space="preserve"> and can benefit from </w:t>
      </w:r>
      <w:r>
        <w:rPr>
          <w:lang w:val="lv-LV"/>
        </w:rPr>
        <w:t>it</w:t>
      </w:r>
      <w:r>
        <w:rPr>
          <w:vertAlign w:val="superscript"/>
          <w:lang w:val="lv-LV"/>
        </w:rPr>
        <w:footnoteReference w:id="27"/>
      </w:r>
      <w:r>
        <w:rPr>
          <w:lang w:val="lv-LV"/>
        </w:rPr>
        <w:t>”. Thus it may be any person who may not be in direct physical control of the asset, but is able and has a right to retake the property at any time. Thus it is a person, who benefits from the property as well as exercises control over it, even though it</w:t>
      </w:r>
      <w:r>
        <w:rPr>
          <w:lang w:val="lv-LV"/>
        </w:rPr>
        <w:t xml:space="preserve"> is commonly an </w:t>
      </w:r>
      <w:r>
        <w:rPr>
          <w:lang w:val="en-GB"/>
        </w:rPr>
        <w:t>indirect</w:t>
      </w:r>
      <w:r>
        <w:rPr>
          <w:lang w:val="lv-LV"/>
        </w:rPr>
        <w:t xml:space="preserve"> and covert control, which is not easily </w:t>
      </w:r>
      <w:r>
        <w:rPr>
          <w:lang w:val="en-GB"/>
        </w:rPr>
        <w:t>identifiable</w:t>
      </w:r>
      <w:r>
        <w:rPr>
          <w:lang w:val="lv-LV"/>
        </w:rPr>
        <w:t xml:space="preserve"> and obvious to the “outside world</w:t>
      </w:r>
      <w:r>
        <w:rPr>
          <w:lang w:val="en-GB"/>
        </w:rPr>
        <w:t>”</w:t>
      </w:r>
      <w:r>
        <w:rPr>
          <w:vertAlign w:val="superscript"/>
          <w:lang w:val="en-GB"/>
        </w:rPr>
        <w:footnoteReference w:id="28"/>
      </w:r>
      <w:r>
        <w:rPr>
          <w:lang w:val="lv-LV"/>
        </w:rPr>
        <w:t xml:space="preserve">. </w:t>
      </w:r>
    </w:p>
    <w:p w:rsidR="003540B4" w:rsidRDefault="008C0147">
      <w:pPr>
        <w:pStyle w:val="RGSLBodywithindentation"/>
        <w:rPr>
          <w:lang w:val="en-GB"/>
        </w:rPr>
      </w:pPr>
      <w:r>
        <w:rPr>
          <w:lang w:val="lv-LV"/>
        </w:rPr>
        <w:t>Primary, when discussing and researchin</w:t>
      </w:r>
      <w:r>
        <w:rPr>
          <w:lang w:val="en-GB"/>
        </w:rPr>
        <w:t>g</w:t>
      </w:r>
      <w:r>
        <w:rPr>
          <w:lang w:val="lv-LV"/>
        </w:rPr>
        <w:t xml:space="preserve"> the beneficial owner concept it is neces</w:t>
      </w:r>
      <w:r>
        <w:rPr>
          <w:lang w:val="en-GB"/>
        </w:rPr>
        <w:t>s</w:t>
      </w:r>
      <w:r>
        <w:rPr>
          <w:lang w:val="lv-LV"/>
        </w:rPr>
        <w:t>ary to identify that it is always a natural person. No leg</w:t>
      </w:r>
      <w:r>
        <w:rPr>
          <w:lang w:val="lv-LV"/>
        </w:rPr>
        <w:t xml:space="preserve">al person by definition may be a beneficial owner. Especially, if the concept of “ultimate control” is added to the definition, which is commonly used in the legislative act when defining the </w:t>
      </w:r>
      <w:r>
        <w:rPr>
          <w:lang w:val="en-GB"/>
        </w:rPr>
        <w:t>beneficial</w:t>
      </w:r>
      <w:r>
        <w:rPr>
          <w:lang w:val="lv-LV"/>
        </w:rPr>
        <w:t xml:space="preserve"> owner, the legal person may not execute ultimate cont</w:t>
      </w:r>
      <w:r>
        <w:rPr>
          <w:lang w:val="lv-LV"/>
        </w:rPr>
        <w:t>rol, as it is itself controlled by a natural person</w:t>
      </w:r>
      <w:r>
        <w:rPr>
          <w:vertAlign w:val="superscript"/>
          <w:lang w:val="lv-LV"/>
        </w:rPr>
        <w:footnoteReference w:id="29"/>
      </w:r>
      <w:r>
        <w:rPr>
          <w:lang w:val="lv-LV"/>
        </w:rPr>
        <w:t xml:space="preserve">. </w:t>
      </w:r>
      <w:r>
        <w:rPr>
          <w:lang w:val="en-GB"/>
        </w:rPr>
        <w:t>Legal person as the term itself is a legal fiction as it is commonly</w:t>
      </w:r>
      <w:r>
        <w:rPr>
          <w:lang w:val="en-GB"/>
        </w:rPr>
        <w:t xml:space="preserve"> </w:t>
      </w:r>
      <w:r>
        <w:rPr>
          <w:lang w:val="en-GB"/>
        </w:rPr>
        <w:t xml:space="preserve">established </w:t>
      </w:r>
      <w:r>
        <w:rPr>
          <w:lang w:val="en-GB"/>
        </w:rPr>
        <w:t>by</w:t>
      </w:r>
      <w:r>
        <w:rPr>
          <w:lang w:val="en-GB"/>
        </w:rPr>
        <w:t xml:space="preserve"> a group or one specific natural person as well as the decisions regarding the legal person as an establishment are tak</w:t>
      </w:r>
      <w:r>
        <w:rPr>
          <w:lang w:val="en-GB"/>
        </w:rPr>
        <w:t xml:space="preserve">en by </w:t>
      </w:r>
      <w:r>
        <w:rPr>
          <w:lang w:val="en-GB"/>
        </w:rPr>
        <w:t>one or multiple</w:t>
      </w:r>
      <w:r>
        <w:rPr>
          <w:lang w:val="en-GB"/>
        </w:rPr>
        <w:t xml:space="preserve"> natural person</w:t>
      </w:r>
      <w:r>
        <w:rPr>
          <w:lang w:val="en-GB"/>
        </w:rPr>
        <w:t>s</w:t>
      </w:r>
      <w:r>
        <w:rPr>
          <w:lang w:val="en-GB"/>
        </w:rPr>
        <w:t xml:space="preserve">.  </w:t>
      </w:r>
    </w:p>
    <w:p w:rsidR="003540B4" w:rsidRDefault="008C0147">
      <w:pPr>
        <w:pStyle w:val="RGSLBodywithindentation"/>
        <w:rPr>
          <w:lang w:val="en-GB"/>
        </w:rPr>
      </w:pPr>
      <w:r>
        <w:rPr>
          <w:lang w:val="lv-LV"/>
        </w:rPr>
        <w:t xml:space="preserve">It is also necessary </w:t>
      </w:r>
      <w:r>
        <w:rPr>
          <w:lang w:val="en-GB"/>
        </w:rPr>
        <w:t xml:space="preserve">not to confuse legal and beneficial ownership. As the concept is researched within the process of money laundering, which is an illegal and criminal activity. The beneficial owner will commonly </w:t>
      </w:r>
      <w:r>
        <w:rPr>
          <w:lang w:val="en-GB"/>
        </w:rPr>
        <w:t>be the person that is not in legal possession of the asset or legal control over it- in other words legal owner. But the person who is actually or in fact in control over it. Yet that is the case when the natural person is aiming to disguise his control an</w:t>
      </w:r>
      <w:r>
        <w:rPr>
          <w:lang w:val="en-GB"/>
        </w:rPr>
        <w:t xml:space="preserve">d beneficial ownership rights in the process of performing money laundering scheme. </w:t>
      </w:r>
    </w:p>
    <w:p w:rsidR="003540B4" w:rsidRDefault="008C0147">
      <w:pPr>
        <w:pStyle w:val="RGSLHeading2"/>
        <w:numPr>
          <w:ilvl w:val="1"/>
          <w:numId w:val="5"/>
        </w:numPr>
        <w:spacing w:line="240" w:lineRule="auto"/>
        <w:ind w:right="709"/>
        <w:rPr>
          <w:rFonts w:ascii="Times New Roman" w:eastAsiaTheme="majorEastAsia" w:hAnsi="Times New Roman" w:hint="default"/>
          <w:color w:val="000000" w:themeColor="text1"/>
          <w:lang w:val="en-GB" w:eastAsia="ru-RU"/>
        </w:rPr>
      </w:pPr>
      <w:bookmarkStart w:id="20" w:name="_Toc30796"/>
      <w:r>
        <w:rPr>
          <w:rFonts w:ascii="Times New Roman" w:eastAsiaTheme="majorEastAsia" w:hAnsi="Times New Roman" w:hint="default"/>
          <w:color w:val="000000" w:themeColor="text1"/>
          <w:lang w:val="en-GB" w:eastAsia="ru-RU"/>
        </w:rPr>
        <w:t>Historical Development of the D</w:t>
      </w:r>
      <w:r>
        <w:rPr>
          <w:rFonts w:ascii="Times New Roman" w:eastAsiaTheme="majorEastAsia" w:hAnsi="Times New Roman"/>
          <w:color w:val="000000" w:themeColor="text1"/>
          <w:lang w:val="en-GB" w:eastAsia="ru-RU"/>
        </w:rPr>
        <w:t xml:space="preserve">efinition </w:t>
      </w:r>
      <w:r>
        <w:rPr>
          <w:rFonts w:ascii="Times New Roman" w:eastAsiaTheme="majorEastAsia" w:hAnsi="Times New Roman" w:hint="default"/>
          <w:color w:val="000000" w:themeColor="text1"/>
          <w:lang w:val="en-GB" w:eastAsia="ru-RU"/>
        </w:rPr>
        <w:t xml:space="preserve">to the term Beneficial Owner </w:t>
      </w:r>
      <w:r>
        <w:rPr>
          <w:rFonts w:ascii="Times New Roman" w:eastAsiaTheme="majorEastAsia" w:hAnsi="Times New Roman"/>
          <w:color w:val="000000" w:themeColor="text1"/>
          <w:lang w:val="en-GB" w:eastAsia="ru-RU"/>
        </w:rPr>
        <w:t>within the scope of EU Directives</w:t>
      </w:r>
      <w:bookmarkEnd w:id="20"/>
      <w:r>
        <w:rPr>
          <w:rFonts w:ascii="Times New Roman" w:eastAsiaTheme="majorEastAsia" w:hAnsi="Times New Roman"/>
          <w:color w:val="000000" w:themeColor="text1"/>
          <w:lang w:val="en-GB" w:eastAsia="ru-RU"/>
        </w:rPr>
        <w:t xml:space="preserve"> </w:t>
      </w:r>
    </w:p>
    <w:p w:rsidR="003540B4" w:rsidRDefault="008C0147">
      <w:pPr>
        <w:pStyle w:val="RGSLBodywithoutindentation"/>
        <w:rPr>
          <w:lang w:val="en-GB"/>
        </w:rPr>
      </w:pPr>
      <w:r>
        <w:rPr>
          <w:lang w:val="en-GB"/>
        </w:rPr>
        <w:t>In the first EU document Council Directive</w:t>
      </w:r>
      <w:r>
        <w:rPr>
          <w:lang w:val="lv-LV"/>
        </w:rPr>
        <w:t xml:space="preserve"> </w:t>
      </w:r>
      <w:r>
        <w:rPr>
          <w:lang w:val="en-GB"/>
        </w:rPr>
        <w:t xml:space="preserve">(91/308/EEC) in its </w:t>
      </w:r>
      <w:r>
        <w:rPr>
          <w:lang w:val="en-GB"/>
        </w:rPr>
        <w:t>scope of application it was identified that as the norms of the convention are constructed for the purposes of prevention of money laundering through the financial and credit institutions by exercising an anonymity rights to carry out any criminal activiti</w:t>
      </w:r>
      <w:r>
        <w:rPr>
          <w:lang w:val="en-GB"/>
        </w:rPr>
        <w:t>es, the applicability of such is extended to any beneficial owners. On the other hand there is no definition in the Directive given to the term, even though it can be assumed that the norm indirectly considers the “beneficial owner” as the subject of it.</w:t>
      </w:r>
      <w:r>
        <w:rPr>
          <w:lang w:val="en-GB"/>
        </w:rPr>
        <w:t xml:space="preserve"> A</w:t>
      </w:r>
      <w:r>
        <w:rPr>
          <w:lang w:val="en-GB"/>
        </w:rPr>
        <w:t>s it states</w:t>
      </w:r>
    </w:p>
    <w:p w:rsidR="003540B4" w:rsidRDefault="008C0147">
      <w:pPr>
        <w:pStyle w:val="RGSLQuotes"/>
        <w:rPr>
          <w:rFonts w:eastAsia="Arial" w:cs="Arial"/>
          <w:sz w:val="22"/>
          <w:szCs w:val="22"/>
          <w:lang w:val="en-GB"/>
        </w:rPr>
      </w:pPr>
      <w:r>
        <w:rPr>
          <w:rFonts w:eastAsia="Arial" w:cs="Arial"/>
          <w:sz w:val="22"/>
          <w:szCs w:val="22"/>
          <w:lang w:val="en-GB"/>
        </w:rPr>
        <w:t xml:space="preserve"> </w:t>
      </w:r>
      <w:r>
        <w:rPr>
          <w:rFonts w:eastAsia="Times New Roman" w:cs="Times New Roman"/>
          <w:sz w:val="22"/>
          <w:szCs w:val="24"/>
          <w:lang w:val="en-GB" w:eastAsia="en-US"/>
        </w:rPr>
        <w:t>Whereas ensuring that credit and financial institutions require identification of their customers when entering into business relations or conducting transactions, exceeding certain thresholds, are necessary to avoid launderers' taking advanta</w:t>
      </w:r>
      <w:r>
        <w:rPr>
          <w:rFonts w:eastAsia="Times New Roman" w:cs="Times New Roman"/>
          <w:sz w:val="22"/>
          <w:szCs w:val="24"/>
          <w:lang w:val="en-GB" w:eastAsia="en-US"/>
        </w:rPr>
        <w:t>ge of anonymity to carry out their criminal activities; whereas such provisions must also be extended, as far as possible, to any beneficial owners;</w:t>
      </w:r>
      <w:r>
        <w:rPr>
          <w:rFonts w:eastAsia="Times New Roman" w:cs="Times New Roman"/>
          <w:sz w:val="22"/>
          <w:szCs w:val="24"/>
          <w:vertAlign w:val="superscript"/>
          <w:lang w:val="en-GB" w:eastAsia="en-US"/>
        </w:rPr>
        <w:footnoteReference w:id="30"/>
      </w:r>
      <w:r>
        <w:rPr>
          <w:rFonts w:eastAsia="Times New Roman" w:cs="Times New Roman"/>
          <w:sz w:val="22"/>
          <w:szCs w:val="24"/>
          <w:lang w:val="en-GB" w:eastAsia="en-US"/>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Further on following the Financial Action Task Force Recommendation section 59</w:t>
      </w:r>
      <w:r>
        <w:rPr>
          <w:rFonts w:ascii="Times New Roman" w:eastAsia="Times New Roman" w:hAnsi="Times New Roman" w:cs="Times New Roman"/>
          <w:sz w:val="24"/>
          <w:szCs w:val="24"/>
          <w:lang w:val="en-GB" w:eastAsia="en-US"/>
        </w:rPr>
        <w:footnoteReference w:id="31"/>
      </w:r>
      <w:r>
        <w:rPr>
          <w:rFonts w:ascii="Times New Roman" w:eastAsia="Times New Roman" w:hAnsi="Times New Roman" w:cs="Times New Roman"/>
          <w:sz w:val="24"/>
          <w:szCs w:val="24"/>
          <w:lang w:val="en-GB" w:eastAsia="en-US"/>
        </w:rPr>
        <w:t xml:space="preserve">, that have indicated the necessity of customer and beneficial ownership identification and necessity to provide a uniform definition, as well as </w:t>
      </w:r>
      <w:r>
        <w:rPr>
          <w:rFonts w:ascii="Times New Roman" w:eastAsia="Times New Roman" w:hAnsi="Times New Roman" w:cs="Times New Roman"/>
          <w:sz w:val="24"/>
          <w:szCs w:val="24"/>
          <w:lang w:val="lv-LV" w:eastAsia="en-US"/>
        </w:rPr>
        <w:t>“</w:t>
      </w:r>
      <w:r>
        <w:rPr>
          <w:rFonts w:ascii="Times New Roman" w:eastAsia="Times New Roman" w:hAnsi="Times New Roman" w:cs="Times New Roman"/>
          <w:sz w:val="24"/>
          <w:szCs w:val="24"/>
          <w:lang w:val="en-GB" w:eastAsia="en-US"/>
        </w:rPr>
        <w:t>given the need to establish uniform and consistent requirements</w:t>
      </w:r>
      <w:r>
        <w:rPr>
          <w:rFonts w:ascii="Times New Roman" w:eastAsia="Times New Roman" w:hAnsi="Times New Roman" w:cs="Times New Roman"/>
          <w:sz w:val="24"/>
          <w:szCs w:val="24"/>
          <w:vertAlign w:val="superscript"/>
          <w:lang w:val="en-GB" w:eastAsia="en-US"/>
        </w:rPr>
        <w:footnoteReference w:id="32"/>
      </w:r>
      <w:r>
        <w:rPr>
          <w:rFonts w:ascii="Times New Roman" w:eastAsia="Times New Roman" w:hAnsi="Times New Roman" w:cs="Times New Roman"/>
          <w:sz w:val="24"/>
          <w:szCs w:val="24"/>
          <w:lang w:val="lv-LV" w:eastAsia="en-US"/>
        </w:rPr>
        <w:t>”</w:t>
      </w:r>
      <w:r>
        <w:rPr>
          <w:rFonts w:ascii="Times New Roman" w:eastAsia="Times New Roman" w:hAnsi="Times New Roman" w:cs="Times New Roman"/>
          <w:sz w:val="24"/>
          <w:szCs w:val="24"/>
          <w:lang w:val="en-GB" w:eastAsia="en-US"/>
        </w:rPr>
        <w:t xml:space="preserve"> there has been in the upcoming directives g</w:t>
      </w:r>
      <w:r>
        <w:rPr>
          <w:rFonts w:ascii="Times New Roman" w:eastAsia="Times New Roman" w:hAnsi="Times New Roman" w:cs="Times New Roman"/>
          <w:sz w:val="24"/>
          <w:szCs w:val="24"/>
          <w:lang w:val="en-GB" w:eastAsia="en-US"/>
        </w:rPr>
        <w:t xml:space="preserve">iven a definition to such term. At this point it is necessary to establish the role of the Financial Action Task Force as the organisation in the AML legislation field. Those “represent the universal standards shaping AML/CFT legislation around the globe, </w:t>
      </w:r>
      <w:r>
        <w:rPr>
          <w:rFonts w:ascii="Times New Roman" w:eastAsia="Times New Roman" w:hAnsi="Times New Roman" w:cs="Times New Roman"/>
          <w:sz w:val="24"/>
          <w:szCs w:val="24"/>
          <w:lang w:val="en-GB" w:eastAsia="en-US"/>
        </w:rPr>
        <w:t>including the EU</w:t>
      </w:r>
      <w:r>
        <w:rPr>
          <w:rFonts w:ascii="Times New Roman" w:eastAsia="Times New Roman" w:hAnsi="Times New Roman" w:cs="Times New Roman"/>
          <w:sz w:val="24"/>
          <w:szCs w:val="24"/>
          <w:vertAlign w:val="superscript"/>
          <w:lang w:val="en-GB" w:eastAsia="en-US"/>
        </w:rPr>
        <w:footnoteReference w:id="33"/>
      </w:r>
      <w:r>
        <w:rPr>
          <w:rFonts w:ascii="Times New Roman" w:eastAsia="Times New Roman" w:hAnsi="Times New Roman" w:cs="Times New Roman"/>
          <w:sz w:val="24"/>
          <w:szCs w:val="24"/>
          <w:lang w:val="en-GB" w:eastAsia="en-US"/>
        </w:rPr>
        <w:t>”. The FATF is commonly viewed as a body performing the role of the “international standard-setter in the AML/CFT field”, even though the documents issued by it are non-binding instruments. But due to “to the large membership of the FATF a</w:t>
      </w:r>
      <w:r>
        <w:rPr>
          <w:rFonts w:ascii="Times New Roman" w:eastAsia="Times New Roman" w:hAnsi="Times New Roman" w:cs="Times New Roman"/>
          <w:sz w:val="24"/>
          <w:szCs w:val="24"/>
          <w:lang w:val="en-GB" w:eastAsia="en-US"/>
        </w:rPr>
        <w:t>nd the sanctions mechanism that accompanies the Recommendations</w:t>
      </w:r>
      <w:r>
        <w:rPr>
          <w:rFonts w:ascii="Times New Roman" w:eastAsia="Times New Roman" w:hAnsi="Times New Roman" w:cs="Times New Roman"/>
          <w:sz w:val="24"/>
          <w:szCs w:val="24"/>
          <w:vertAlign w:val="superscript"/>
          <w:lang w:val="en-GB" w:eastAsia="en-US"/>
        </w:rPr>
        <w:footnoteReference w:id="34"/>
      </w:r>
      <w:r>
        <w:rPr>
          <w:rFonts w:ascii="Times New Roman" w:eastAsia="Times New Roman" w:hAnsi="Times New Roman" w:cs="Times New Roman"/>
          <w:sz w:val="24"/>
          <w:szCs w:val="24"/>
          <w:lang w:val="en-GB" w:eastAsia="en-US"/>
        </w:rPr>
        <w:t>”. And as well as the fact that the recommendations are later on followed and taken into consideration by the legislator when introducing the amendments or new norms to the law in the AML fiel</w:t>
      </w:r>
      <w:r>
        <w:rPr>
          <w:rFonts w:ascii="Times New Roman" w:eastAsia="Times New Roman" w:hAnsi="Times New Roman" w:cs="Times New Roman"/>
          <w:sz w:val="24"/>
          <w:szCs w:val="24"/>
          <w:lang w:val="en-GB" w:eastAsia="en-US"/>
        </w:rPr>
        <w:t>d. There has been established a close relationship between “soft”and “hard” law norms in this legal area and thus the FATF is being an initiator of the further legal development combating money laundering.</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In the next norm legislating in the AML field- Dir</w:t>
      </w:r>
      <w:r>
        <w:rPr>
          <w:rFonts w:ascii="Times New Roman" w:eastAsia="Times New Roman" w:hAnsi="Times New Roman" w:cs="Times New Roman"/>
          <w:sz w:val="24"/>
          <w:szCs w:val="24"/>
          <w:lang w:val="en-GB" w:eastAsia="en-US"/>
        </w:rPr>
        <w:t xml:space="preserve">ective 2001/97/EC there was still no definition provided to the term “beneficial owner”, as it is only mentioned within the scope of an obligation imposed by the legislator on the Member States to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ensure that the institutions and persons subject to this D</w:t>
      </w:r>
      <w:r>
        <w:rPr>
          <w:rFonts w:ascii="Times New Roman" w:eastAsia="Times New Roman" w:hAnsi="Times New Roman" w:cs="Times New Roman"/>
          <w:szCs w:val="24"/>
          <w:lang w:val="en-GB" w:eastAsia="en-US"/>
        </w:rPr>
        <w:t>irective refrain from carrying out transactions which they know or suspect to be related to money laundering until they have apprised the authorities referred to in Article 6. Those authorities may, under conditions determined by their national legislation</w:t>
      </w:r>
      <w:r>
        <w:rPr>
          <w:rFonts w:ascii="Times New Roman" w:eastAsia="Times New Roman" w:hAnsi="Times New Roman" w:cs="Times New Roman"/>
          <w:szCs w:val="24"/>
          <w:lang w:val="en-GB" w:eastAsia="en-US"/>
        </w:rPr>
        <w:t>, give instructions not to execute the operation. Where such a transaction is suspected of giving rise to money laundering and where to refrain in such manner is impossible or is likely to frustrate efforts to pursue the beneficiaries of a suspected money-</w:t>
      </w:r>
      <w:r>
        <w:rPr>
          <w:rFonts w:ascii="Times New Roman" w:eastAsia="Times New Roman" w:hAnsi="Times New Roman" w:cs="Times New Roman"/>
          <w:szCs w:val="24"/>
          <w:lang w:val="en-GB" w:eastAsia="en-US"/>
        </w:rPr>
        <w:t>laundering operation, the institutions and persons concerned shall apprise the authorities immediately afterwards.</w:t>
      </w:r>
      <w:r>
        <w:rPr>
          <w:rFonts w:ascii="Times New Roman" w:eastAsia="Times New Roman" w:hAnsi="Times New Roman" w:cs="Times New Roman"/>
          <w:szCs w:val="24"/>
          <w:vertAlign w:val="superscript"/>
          <w:lang w:val="en-GB" w:eastAsia="en-US"/>
        </w:rPr>
        <w:footnoteReference w:id="35"/>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Thus only mentioning beneficial owners as part of the article and by virtue of this article compelling the financial institutions by followi</w:t>
      </w:r>
      <w:r>
        <w:rPr>
          <w:rFonts w:ascii="Times New Roman" w:eastAsia="Times New Roman" w:hAnsi="Times New Roman" w:cs="Times New Roman"/>
          <w:sz w:val="24"/>
          <w:szCs w:val="24"/>
          <w:lang w:val="en-GB" w:eastAsia="en-US"/>
        </w:rPr>
        <w:t xml:space="preserve">ng in the directive identified reporting procedure to deny the execution of an operation which is a subject to suspection of money laundering.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In the following AML Directive-  Directive 2005/60/EC itself there has already been identified the neccesity of </w:t>
      </w:r>
      <w:r>
        <w:rPr>
          <w:rFonts w:ascii="Times New Roman" w:eastAsia="Times New Roman" w:hAnsi="Times New Roman" w:cs="Times New Roman"/>
          <w:sz w:val="24"/>
          <w:szCs w:val="24"/>
          <w:lang w:val="en-GB" w:eastAsia="en-US"/>
        </w:rPr>
        <w:t xml:space="preserve">providing the definition to the term beneficial owner, previously used and mentioned in directives, aiming to remove the vagueness and lack of precision. This Directive is the first legal document providing a definition to the term. </w:t>
      </w:r>
    </w:p>
    <w:p w:rsidR="003540B4" w:rsidRDefault="008C0147">
      <w:pPr>
        <w:pStyle w:val="RGSLNormalwithindentation"/>
        <w:jc w:val="both"/>
        <w:rPr>
          <w:rFonts w:ascii="Times New Roman" w:eastAsia="Calibri" w:hAnsi="Times New Roman" w:cs="Times New Roman"/>
          <w:color w:val="000000" w:themeColor="text1"/>
          <w:sz w:val="24"/>
          <w:szCs w:val="24"/>
          <w:lang w:val="lv-LV" w:bidi="ar"/>
        </w:rPr>
      </w:pPr>
      <w:r>
        <w:rPr>
          <w:rFonts w:ascii="Times New Roman" w:eastAsia="Times New Roman" w:hAnsi="Times New Roman" w:cs="Times New Roman"/>
          <w:sz w:val="24"/>
          <w:szCs w:val="24"/>
          <w:lang w:val="lv-LV" w:eastAsia="en-US"/>
        </w:rPr>
        <w:t xml:space="preserve">Even though the first </w:t>
      </w:r>
      <w:r>
        <w:rPr>
          <w:rFonts w:ascii="Times New Roman" w:eastAsia="Times New Roman" w:hAnsi="Times New Roman" w:cs="Times New Roman"/>
          <w:sz w:val="24"/>
          <w:szCs w:val="24"/>
          <w:lang w:val="lv-LV" w:eastAsia="en-US"/>
        </w:rPr>
        <w:t xml:space="preserve">AML directive- </w:t>
      </w:r>
      <w:r>
        <w:rPr>
          <w:rFonts w:ascii="Times New Roman" w:eastAsia="Times New Roman" w:hAnsi="Times New Roman" w:cs="Times New Roman"/>
          <w:sz w:val="24"/>
          <w:szCs w:val="24"/>
          <w:lang w:val="en-GB" w:eastAsia="en-US"/>
        </w:rPr>
        <w:t>Directive 91/308/EEC</w:t>
      </w:r>
      <w:r>
        <w:rPr>
          <w:rFonts w:ascii="Times New Roman" w:eastAsia="Times New Roman" w:hAnsi="Times New Roman" w:cs="Times New Roman"/>
          <w:sz w:val="24"/>
          <w:szCs w:val="24"/>
          <w:lang w:val="lv-LV" w:eastAsia="en-US"/>
        </w:rPr>
        <w:t xml:space="preserve"> has imposed an obligation on financial institutions  to identify the beneficial owner of its customers it lacked the definition and respective procedure description that had to be used</w:t>
      </w:r>
      <w:r>
        <w:rPr>
          <w:rFonts w:ascii="Times New Roman" w:eastAsia="Times New Roman" w:hAnsi="Times New Roman" w:cs="Times New Roman"/>
          <w:sz w:val="24"/>
          <w:szCs w:val="24"/>
          <w:lang w:val="en-GB" w:eastAsia="en-US"/>
        </w:rPr>
        <w:t xml:space="preserve"> to achieve such aims</w:t>
      </w:r>
      <w:r>
        <w:rPr>
          <w:rFonts w:ascii="Times New Roman" w:eastAsia="Times New Roman" w:hAnsi="Times New Roman" w:cs="Times New Roman"/>
          <w:sz w:val="24"/>
          <w:szCs w:val="24"/>
          <w:lang w:val="lv-LV" w:eastAsia="en-US"/>
        </w:rPr>
        <w:t>. Thus as it is</w:t>
      </w:r>
      <w:r>
        <w:rPr>
          <w:rFonts w:ascii="Times New Roman" w:eastAsia="Times New Roman" w:hAnsi="Times New Roman" w:cs="Times New Roman"/>
          <w:sz w:val="24"/>
          <w:szCs w:val="24"/>
          <w:lang w:val="lv-LV" w:eastAsia="en-US"/>
        </w:rPr>
        <w:t xml:space="preserve"> a of high importance in the money laundering and terrorism proliferation field, it was crucial to</w:t>
      </w:r>
    </w:p>
    <w:p w:rsidR="003540B4" w:rsidRDefault="008C0147">
      <w:pPr>
        <w:pStyle w:val="RGSLQuotes"/>
        <w:rPr>
          <w:rFonts w:eastAsia="Times New Roman" w:cs="Times New Roman"/>
          <w:sz w:val="22"/>
          <w:szCs w:val="24"/>
          <w:lang w:val="lv-LV" w:eastAsia="en-US"/>
        </w:rPr>
      </w:pPr>
      <w:r>
        <w:rPr>
          <w:rFonts w:eastAsia="Times New Roman" w:cs="Times New Roman"/>
          <w:sz w:val="22"/>
          <w:szCs w:val="24"/>
          <w:lang w:val="lv-LV" w:eastAsia="en-US"/>
        </w:rPr>
        <w:t xml:space="preserve"> </w:t>
      </w:r>
      <w:r>
        <w:rPr>
          <w:rFonts w:eastAsia="Times New Roman" w:cs="Times New Roman"/>
          <w:sz w:val="22"/>
          <w:szCs w:val="24"/>
          <w:lang w:val="en-GB" w:eastAsia="en-US"/>
        </w:rPr>
        <w:t xml:space="preserve">introduce more specific and detailed provisions relating to the identification of the customer and of any beneficial owner and the verification of their </w:t>
      </w:r>
      <w:r>
        <w:rPr>
          <w:rFonts w:eastAsia="Times New Roman" w:cs="Times New Roman"/>
          <w:sz w:val="22"/>
          <w:szCs w:val="24"/>
          <w:lang w:val="en-GB" w:eastAsia="en-US"/>
        </w:rPr>
        <w:t>identity</w:t>
      </w:r>
      <w:r>
        <w:rPr>
          <w:rFonts w:eastAsia="Times New Roman" w:cs="Times New Roman"/>
          <w:sz w:val="22"/>
          <w:szCs w:val="24"/>
          <w:vertAlign w:val="superscript"/>
          <w:lang w:val="en-GB" w:eastAsia="en-US"/>
        </w:rPr>
        <w:footnoteReference w:id="36"/>
      </w:r>
      <w:r>
        <w:rPr>
          <w:rFonts w:eastAsia="Times New Roman" w:cs="Times New Roman"/>
          <w:sz w:val="22"/>
          <w:szCs w:val="24"/>
          <w:lang w:val="lv-LV" w:eastAsia="en-US"/>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 xml:space="preserve">Thus the </w:t>
      </w:r>
      <w:r>
        <w:rPr>
          <w:rFonts w:ascii="Times New Roman" w:eastAsia="Times New Roman" w:hAnsi="Times New Roman" w:cs="Times New Roman"/>
          <w:sz w:val="24"/>
          <w:szCs w:val="24"/>
          <w:lang w:val="en-GB" w:eastAsia="en-US"/>
        </w:rPr>
        <w:t>necessity</w:t>
      </w:r>
      <w:r>
        <w:rPr>
          <w:rFonts w:ascii="Times New Roman" w:eastAsia="Times New Roman" w:hAnsi="Times New Roman" w:cs="Times New Roman"/>
          <w:sz w:val="24"/>
          <w:szCs w:val="24"/>
          <w:lang w:val="lv-LV" w:eastAsia="en-US"/>
        </w:rPr>
        <w:t xml:space="preserve"> of precise definition of the beneficial owner and respective procedures of the identification of such were identified in introduction part section 9 of the Explanatory Memorandum presented by the Commission</w:t>
      </w:r>
      <w:r>
        <w:rPr>
          <w:rFonts w:ascii="Times New Roman" w:eastAsia="Times New Roman" w:hAnsi="Times New Roman" w:cs="Times New Roman"/>
          <w:sz w:val="24"/>
          <w:szCs w:val="24"/>
          <w:lang w:val="en-GB" w:eastAsia="en-US"/>
        </w:rPr>
        <w:t xml:space="preserve"> named</w:t>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Proposal for</w:t>
      </w:r>
      <w:r>
        <w:rPr>
          <w:rFonts w:ascii="Times New Roman" w:eastAsia="Times New Roman" w:hAnsi="Times New Roman" w:cs="Times New Roman"/>
          <w:sz w:val="24"/>
          <w:szCs w:val="24"/>
          <w:lang w:val="en-GB" w:eastAsia="en-US"/>
        </w:rPr>
        <w:t xml:space="preserve"> a DIRECTIVE OF THE EUROPEAN PARLIAMENT AND OF THE COUNCIL on the prevention of the use of the financial system for the purpose of money laundering, including terrorist financing</w:t>
      </w:r>
      <w:r>
        <w:rPr>
          <w:rFonts w:ascii="Times New Roman" w:eastAsia="Times New Roman" w:hAnsi="Times New Roman" w:cs="Times New Roman"/>
          <w:sz w:val="24"/>
          <w:szCs w:val="24"/>
          <w:lang w:val="lv-LV" w:eastAsia="en-US"/>
        </w:rPr>
        <w:t>”</w:t>
      </w:r>
      <w:r>
        <w:rPr>
          <w:rFonts w:ascii="Times New Roman" w:eastAsia="Times New Roman" w:hAnsi="Times New Roman" w:cs="Times New Roman"/>
          <w:sz w:val="24"/>
          <w:szCs w:val="24"/>
          <w:lang w:val="en-GB" w:eastAsia="en-US"/>
        </w:rPr>
        <w:t xml:space="preserve"> as well as it</w:t>
      </w:r>
      <w:r>
        <w:rPr>
          <w:rFonts w:ascii="Times New Roman" w:eastAsia="Times New Roman" w:hAnsi="Times New Roman" w:cs="Times New Roman"/>
          <w:sz w:val="24"/>
          <w:szCs w:val="24"/>
          <w:lang w:val="lv-LV" w:eastAsia="en-US"/>
        </w:rPr>
        <w:t xml:space="preserve"> was highlighted as one of the drawbacks necessary to be improv</w:t>
      </w:r>
      <w:r>
        <w:rPr>
          <w:rFonts w:ascii="Times New Roman" w:eastAsia="Times New Roman" w:hAnsi="Times New Roman" w:cs="Times New Roman"/>
          <w:sz w:val="24"/>
          <w:szCs w:val="24"/>
          <w:lang w:val="lv-LV" w:eastAsia="en-US"/>
        </w:rPr>
        <w:t xml:space="preserve">ed in the upcoming legislative act. </w:t>
      </w:r>
      <w:r>
        <w:rPr>
          <w:rFonts w:ascii="Times New Roman" w:eastAsia="Times New Roman" w:hAnsi="Times New Roman" w:cs="Times New Roman"/>
          <w:sz w:val="24"/>
          <w:szCs w:val="24"/>
          <w:lang w:val="en-GB" w:eastAsia="en-US"/>
        </w:rPr>
        <w:t>Besides</w:t>
      </w:r>
      <w:r>
        <w:rPr>
          <w:rFonts w:ascii="Times New Roman" w:eastAsia="Times New Roman" w:hAnsi="Times New Roman" w:cs="Times New Roman"/>
          <w:sz w:val="24"/>
          <w:szCs w:val="24"/>
          <w:lang w:val="lv-LV" w:eastAsia="en-US"/>
        </w:rPr>
        <w:t xml:space="preserve">, the proposal on criminalization of money laundering has been offered in the following section ( section 10) of the document </w:t>
      </w:r>
      <w:r>
        <w:rPr>
          <w:rFonts w:ascii="Times New Roman" w:eastAsia="Times New Roman" w:hAnsi="Times New Roman" w:cs="Times New Roman"/>
          <w:sz w:val="24"/>
          <w:szCs w:val="24"/>
          <w:lang w:val="en-GB" w:eastAsia="en-US"/>
        </w:rPr>
        <w:t>.</w:t>
      </w:r>
    </w:p>
    <w:p w:rsidR="003540B4" w:rsidRDefault="003540B4">
      <w:pPr>
        <w:pStyle w:val="NormalWeb"/>
        <w:shd w:val="clear" w:color="auto" w:fill="FFFFFF"/>
        <w:spacing w:before="100" w:beforeAutospacing="0" w:after="100" w:afterAutospacing="0" w:line="360" w:lineRule="auto"/>
        <w:ind w:left="150" w:right="350"/>
        <w:jc w:val="both"/>
        <w:rPr>
          <w:rFonts w:eastAsia="Segoe UI"/>
          <w:color w:val="444444"/>
          <w:sz w:val="20"/>
          <w:szCs w:val="20"/>
          <w:shd w:val="clear" w:color="auto" w:fill="FFFFFF"/>
          <w:lang w:val="lv-LV"/>
        </w:rPr>
      </w:pP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Thus following the previously cited aims, the legislator is defining the term beneficial owner in Article 3 Section 6 and provides following definition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means the natural person(s) who ultimately owns or controls the customer and/or the natural person on w</w:t>
      </w:r>
      <w:r>
        <w:rPr>
          <w:rFonts w:ascii="Times New Roman" w:eastAsia="Times New Roman" w:hAnsi="Times New Roman" w:cs="Times New Roman"/>
          <w:szCs w:val="24"/>
          <w:lang w:val="en-GB" w:eastAsia="en-US"/>
        </w:rPr>
        <w:t>hose behalf a transaction or activity is being conducted. The beneficial owner shall at least include:</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(a)in the case of corporate entities:</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(i)the natural person(s) who ultimately owns or controls a legal entity through direct or indirect ownership or con</w:t>
      </w:r>
      <w:r>
        <w:rPr>
          <w:rFonts w:ascii="Times New Roman" w:eastAsia="Times New Roman" w:hAnsi="Times New Roman" w:cs="Times New Roman"/>
          <w:szCs w:val="24"/>
          <w:lang w:val="en-GB" w:eastAsia="en-US"/>
        </w:rPr>
        <w:t>trol over a sufficient percentage of the shares or voting rights in that legal entity, including through bearer share holdings, other than a company listed on a regulated market that is subject to disclosure requirements consistent with Community legislati</w:t>
      </w:r>
      <w:r>
        <w:rPr>
          <w:rFonts w:ascii="Times New Roman" w:eastAsia="Times New Roman" w:hAnsi="Times New Roman" w:cs="Times New Roman"/>
          <w:szCs w:val="24"/>
          <w:lang w:val="en-GB" w:eastAsia="en-US"/>
        </w:rPr>
        <w:t>on or subject to equivalent international standards; a percentage of 25 % plus one share shall be deemed sufficient to meet this criterion;</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(ii)the natural person(s) who otherwise exercises control over the management of a legal entity:</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(b)in the case of </w:t>
      </w:r>
      <w:r>
        <w:rPr>
          <w:rFonts w:ascii="Times New Roman" w:eastAsia="Times New Roman" w:hAnsi="Times New Roman" w:cs="Times New Roman"/>
          <w:szCs w:val="24"/>
          <w:lang w:val="en-GB" w:eastAsia="en-US"/>
        </w:rPr>
        <w:t>legal entities, such as foundations, and legal arrangements, such as trusts, which administer and distribute funds:</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(i)where the future beneficiaries have already been determined, the natural person(s) who is the beneficiary of 25 % or more of the property</w:t>
      </w:r>
      <w:r>
        <w:rPr>
          <w:rFonts w:ascii="Times New Roman" w:eastAsia="Times New Roman" w:hAnsi="Times New Roman" w:cs="Times New Roman"/>
          <w:szCs w:val="24"/>
          <w:lang w:val="en-GB" w:eastAsia="en-US"/>
        </w:rPr>
        <w:t xml:space="preserve"> of a legal arrangement or entity;</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(ii)where the individuals that benefit from the legal arrangement or entity have yet to be determined, the class of persons in whose main interest the legal arrangement or entity is set up or operates;</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(iii) the natural p</w:t>
      </w:r>
      <w:r>
        <w:rPr>
          <w:rFonts w:ascii="Times New Roman" w:eastAsia="Times New Roman" w:hAnsi="Times New Roman" w:cs="Times New Roman"/>
          <w:szCs w:val="24"/>
          <w:lang w:val="en-GB" w:eastAsia="en-US"/>
        </w:rPr>
        <w:t>erson(s) who exercises control over 25 % or more of the property of a legal arrangement or entity;</w:t>
      </w:r>
      <w:r>
        <w:rPr>
          <w:rFonts w:ascii="Times New Roman" w:eastAsia="Times New Roman" w:hAnsi="Times New Roman" w:cs="Times New Roman"/>
          <w:szCs w:val="24"/>
          <w:vertAlign w:val="superscript"/>
          <w:lang w:val="en-GB" w:eastAsia="en-US"/>
        </w:rPr>
        <w:footnoteReference w:id="37"/>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Summing up, an article describes a beneficial owner, as </w:t>
      </w:r>
      <w:r>
        <w:rPr>
          <w:rFonts w:ascii="Times New Roman" w:eastAsia="Times New Roman" w:hAnsi="Times New Roman" w:cs="Times New Roman"/>
          <w:sz w:val="24"/>
          <w:szCs w:val="24"/>
          <w:lang w:val="lv-LV" w:eastAsia="en-US"/>
        </w:rPr>
        <w:t>“</w:t>
      </w:r>
      <w:r>
        <w:rPr>
          <w:rFonts w:ascii="Times New Roman" w:eastAsia="Times New Roman" w:hAnsi="Times New Roman" w:cs="Times New Roman"/>
          <w:sz w:val="24"/>
          <w:szCs w:val="24"/>
          <w:lang w:val="en-GB" w:eastAsia="en-US"/>
        </w:rPr>
        <w:t>an exclusively natural person, who ultimately owns, controls and on whose behalf transactions are e</w:t>
      </w:r>
      <w:r>
        <w:rPr>
          <w:rFonts w:ascii="Times New Roman" w:eastAsia="Times New Roman" w:hAnsi="Times New Roman" w:cs="Times New Roman"/>
          <w:sz w:val="24"/>
          <w:szCs w:val="24"/>
          <w:lang w:val="en-GB" w:eastAsia="en-US"/>
        </w:rPr>
        <w:t>xecuted</w:t>
      </w:r>
      <w:r>
        <w:rPr>
          <w:rFonts w:ascii="Times New Roman" w:eastAsia="Times New Roman" w:hAnsi="Times New Roman" w:cs="Times New Roman"/>
          <w:sz w:val="24"/>
          <w:szCs w:val="24"/>
          <w:vertAlign w:val="superscript"/>
          <w:lang w:val="en-GB" w:eastAsia="en-US"/>
        </w:rPr>
        <w:footnoteReference w:id="38"/>
      </w:r>
      <w:r>
        <w:rPr>
          <w:rFonts w:ascii="Times New Roman" w:eastAsia="Times New Roman" w:hAnsi="Times New Roman" w:cs="Times New Roman"/>
          <w:sz w:val="24"/>
          <w:szCs w:val="24"/>
          <w:lang w:val="lv-LV" w:eastAsia="en-US"/>
        </w:rPr>
        <w:t>”</w:t>
      </w:r>
      <w:r>
        <w:rPr>
          <w:rFonts w:ascii="Times New Roman" w:eastAsia="Times New Roman" w:hAnsi="Times New Roman" w:cs="Times New Roman"/>
          <w:sz w:val="24"/>
          <w:szCs w:val="24"/>
          <w:lang w:val="en-GB" w:eastAsia="en-US"/>
        </w:rPr>
        <w:t>. Besides applying an obligation on financial institutions when conducting a research on the customer, implementing Due Diligence procedure and performing risk-based investigation to identify the factual controller or beneficiary of the customer i</w:t>
      </w:r>
      <w:r>
        <w:rPr>
          <w:rFonts w:ascii="Times New Roman" w:eastAsia="Times New Roman" w:hAnsi="Times New Roman" w:cs="Times New Roman"/>
          <w:sz w:val="24"/>
          <w:szCs w:val="24"/>
          <w:lang w:val="en-GB" w:eastAsia="en-US"/>
        </w:rPr>
        <w:t>nstead of the legal holder of the account</w:t>
      </w:r>
      <w:r>
        <w:rPr>
          <w:rFonts w:ascii="Times New Roman" w:eastAsia="Times New Roman" w:hAnsi="Times New Roman" w:cs="Times New Roman"/>
          <w:sz w:val="24"/>
          <w:szCs w:val="24"/>
          <w:vertAlign w:val="superscript"/>
          <w:lang w:val="en-GB" w:eastAsia="en-US"/>
        </w:rPr>
        <w:footnoteReference w:id="39"/>
      </w:r>
      <w:r>
        <w:rPr>
          <w:rFonts w:ascii="Times New Roman" w:eastAsia="Times New Roman" w:hAnsi="Times New Roman" w:cs="Times New Roman"/>
          <w:sz w:val="24"/>
          <w:szCs w:val="24"/>
          <w:lang w:val="en-GB" w:eastAsia="en-US"/>
        </w:rPr>
        <w:t>.The article primarily identifies two types of entities: corporate and legal with subsequent categorization of what are the requirements for the natural person to be fit within the definition of a beneficial owner.</w:t>
      </w:r>
      <w:r>
        <w:rPr>
          <w:rFonts w:ascii="Times New Roman" w:eastAsia="Times New Roman" w:hAnsi="Times New Roman" w:cs="Times New Roman"/>
          <w:sz w:val="24"/>
          <w:szCs w:val="24"/>
          <w:lang w:val="en-GB" w:eastAsia="en-US"/>
        </w:rPr>
        <w:t xml:space="preserve"> Both unified by the requirement that a person should be a direct or indirect holder of 25 percent of property or shares</w:t>
      </w:r>
      <w:r>
        <w:rPr>
          <w:rFonts w:ascii="Times New Roman" w:eastAsia="Times New Roman" w:hAnsi="Times New Roman" w:cs="Times New Roman"/>
          <w:sz w:val="24"/>
          <w:szCs w:val="24"/>
          <w:vertAlign w:val="superscript"/>
          <w:lang w:val="en-GB" w:eastAsia="en-US"/>
        </w:rPr>
        <w:footnoteReference w:id="40"/>
      </w:r>
      <w:r>
        <w:rPr>
          <w:rFonts w:ascii="Times New Roman" w:eastAsia="Times New Roman" w:hAnsi="Times New Roman" w:cs="Times New Roman"/>
          <w:sz w:val="24"/>
          <w:szCs w:val="24"/>
          <w:lang w:val="en-GB"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Those rules, however, do not preclude financial institutions from setting a lower threshold. They have the discretion to set their o</w:t>
      </w:r>
      <w:r>
        <w:rPr>
          <w:rFonts w:ascii="Times New Roman" w:eastAsia="Times New Roman" w:hAnsi="Times New Roman" w:cs="Times New Roman"/>
          <w:szCs w:val="24"/>
          <w:lang w:val="en-GB" w:eastAsia="en-US"/>
        </w:rPr>
        <w:t>wn information collection procedures on beneficiary within the framework of the Directive. In fact, Article 43 shows the willingness to lower the 25% threshold, which, however, was never implemented</w:t>
      </w:r>
      <w:r>
        <w:rPr>
          <w:rFonts w:ascii="Times New Roman" w:eastAsia="Times New Roman" w:hAnsi="Times New Roman" w:cs="Times New Roman"/>
          <w:szCs w:val="24"/>
          <w:vertAlign w:val="superscript"/>
          <w:lang w:val="en-GB" w:eastAsia="en-US"/>
        </w:rPr>
        <w:footnoteReference w:id="41"/>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However, from the historical perspective this definition</w:t>
      </w:r>
      <w:r>
        <w:rPr>
          <w:rFonts w:ascii="Times New Roman" w:eastAsia="Times New Roman" w:hAnsi="Times New Roman" w:cs="Times New Roman"/>
          <w:sz w:val="24"/>
          <w:szCs w:val="24"/>
          <w:lang w:val="en-GB" w:eastAsia="en-US"/>
        </w:rPr>
        <w:t xml:space="preserve"> is undoubtedly important, as has established the core principles, which are still applicable and followed, from the legal perspective this legal definition is not true, as article has been subsequently amended in Directive (EU) 2015/849. The main elements</w:t>
      </w:r>
      <w:r>
        <w:rPr>
          <w:rFonts w:ascii="Times New Roman" w:eastAsia="Times New Roman" w:hAnsi="Times New Roman" w:cs="Times New Roman"/>
          <w:sz w:val="24"/>
          <w:szCs w:val="24"/>
          <w:lang w:val="en-GB" w:eastAsia="en-US"/>
        </w:rPr>
        <w:t xml:space="preserve"> remained the same however the wording of the article has been changed along with additional provisions added to it. The largest changes have been brought by separately defining and highlighting the concept of 25% of the share holding in corporate entities</w:t>
      </w:r>
      <w:r>
        <w:rPr>
          <w:rFonts w:ascii="Times New Roman" w:eastAsia="Times New Roman" w:hAnsi="Times New Roman" w:cs="Times New Roman"/>
          <w:sz w:val="24"/>
          <w:szCs w:val="24"/>
          <w:lang w:val="en-GB" w:eastAsia="en-US"/>
        </w:rPr>
        <w:t xml:space="preserve">, which is described as follows: </w:t>
      </w:r>
    </w:p>
    <w:p w:rsidR="003540B4" w:rsidRDefault="008C0147">
      <w:pPr>
        <w:pStyle w:val="RGSLQuotes"/>
        <w:rPr>
          <w:rFonts w:eastAsia="Times New Roman" w:cs="Times New Roman"/>
          <w:sz w:val="22"/>
          <w:szCs w:val="24"/>
          <w:lang w:val="en-GB" w:eastAsia="en-US"/>
        </w:rPr>
      </w:pPr>
      <w:r>
        <w:rPr>
          <w:rFonts w:eastAsia="Times New Roman" w:cs="Times New Roman"/>
          <w:sz w:val="22"/>
          <w:szCs w:val="24"/>
          <w:lang w:val="en-GB" w:eastAsia="en-US"/>
        </w:rPr>
        <w:t>A shareholding of 25 % plus one share or an ownership interest of more than 25 % in the customer held by a natural person shall be an indication of direct ownership. A shareholding of 25 % plus one share or an ownership in</w:t>
      </w:r>
      <w:r>
        <w:rPr>
          <w:rFonts w:eastAsia="Times New Roman" w:cs="Times New Roman"/>
          <w:sz w:val="22"/>
          <w:szCs w:val="24"/>
          <w:lang w:val="en-GB" w:eastAsia="en-US"/>
        </w:rPr>
        <w:t>terest of more than 25 % in the customer held by a corporate entity, which is under the control of a natural person(s), or by multiple corporate entities, which are under the control of the same natural person(s), shall be an indication of indirect ownersh</w:t>
      </w:r>
      <w:r>
        <w:rPr>
          <w:rFonts w:eastAsia="Times New Roman" w:cs="Times New Roman"/>
          <w:sz w:val="22"/>
          <w:szCs w:val="24"/>
          <w:lang w:val="en-GB" w:eastAsia="en-US"/>
        </w:rPr>
        <w:t xml:space="preserve">ip. This applies without prejudice to the right of Member States to decide that a lower percentage may be an indication of ownership or control. Control through other means may be determined, inter alia, in accordance with the criteria in Article 22(1) to </w:t>
      </w:r>
      <w:r>
        <w:rPr>
          <w:rFonts w:eastAsia="Times New Roman" w:cs="Times New Roman"/>
          <w:sz w:val="22"/>
          <w:szCs w:val="24"/>
          <w:lang w:val="en-GB" w:eastAsia="en-US"/>
        </w:rPr>
        <w:t>(5) of Directive 2013/34/EU of the European Parliament and of the Council (29);</w:t>
      </w:r>
      <w:r>
        <w:rPr>
          <w:rFonts w:eastAsia="Times New Roman" w:cs="Times New Roman"/>
          <w:sz w:val="22"/>
          <w:szCs w:val="24"/>
          <w:vertAlign w:val="superscript"/>
          <w:lang w:val="en-GB" w:eastAsia="en-US"/>
        </w:rPr>
        <w:footnoteReference w:id="42"/>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Paraphrasing, it means that a person who is in direct or indirect ownership of 25 percent</w:t>
      </w:r>
      <w:r>
        <w:rPr>
          <w:rFonts w:ascii="Times New Roman" w:eastAsia="Times New Roman" w:hAnsi="Times New Roman" w:cs="Times New Roman"/>
          <w:sz w:val="24"/>
          <w:szCs w:val="24"/>
          <w:lang w:val="en-GB" w:eastAsia="en-US"/>
        </w:rPr>
        <w:t xml:space="preserve"> plus one</w:t>
      </w:r>
      <w:r>
        <w:rPr>
          <w:rFonts w:ascii="Times New Roman" w:eastAsia="Times New Roman" w:hAnsi="Times New Roman" w:cs="Times New Roman"/>
          <w:sz w:val="24"/>
          <w:szCs w:val="24"/>
          <w:lang w:val="en-GB" w:eastAsia="en-US"/>
        </w:rPr>
        <w:t xml:space="preserve"> of the shares of an organisation is considered to be an ultimate beneficial owner. And even though it may not be a direct ownership, </w:t>
      </w:r>
      <w:r>
        <w:rPr>
          <w:rFonts w:ascii="Times New Roman" w:eastAsia="Times New Roman" w:hAnsi="Times New Roman" w:cs="Times New Roman"/>
          <w:sz w:val="24"/>
          <w:szCs w:val="24"/>
          <w:lang w:val="en-GB" w:eastAsia="en-US"/>
        </w:rPr>
        <w:t xml:space="preserve">he </w:t>
      </w:r>
      <w:r>
        <w:rPr>
          <w:rFonts w:ascii="Times New Roman" w:eastAsia="Times New Roman" w:hAnsi="Times New Roman" w:cs="Times New Roman"/>
          <w:sz w:val="24"/>
          <w:szCs w:val="24"/>
          <w:lang w:val="en-GB" w:eastAsia="en-US"/>
        </w:rPr>
        <w:t>will be considered as such inter alia. This includes complicated ownership structures, where an organisation or company</w:t>
      </w:r>
      <w:r>
        <w:rPr>
          <w:rFonts w:ascii="Times New Roman" w:eastAsia="Times New Roman" w:hAnsi="Times New Roman" w:cs="Times New Roman"/>
          <w:sz w:val="24"/>
          <w:szCs w:val="24"/>
          <w:lang w:val="en-GB" w:eastAsia="en-US"/>
        </w:rPr>
        <w:t xml:space="preserve"> is directly owned by one or multiple other organisations. As such the beneficial owner will be considered a natural person, who at the end of the organisational ownership structure, will be the owner of the 25% or 1/4</w:t>
      </w:r>
      <w:r>
        <w:rPr>
          <w:rFonts w:ascii="Times New Roman" w:eastAsia="Times New Roman" w:hAnsi="Times New Roman" w:cs="Times New Roman"/>
          <w:sz w:val="24"/>
          <w:szCs w:val="24"/>
          <w:lang w:val="en-GB" w:eastAsia="en-US"/>
        </w:rPr>
        <w:t xml:space="preserve"> plus one</w:t>
      </w:r>
      <w:r>
        <w:rPr>
          <w:rFonts w:ascii="Times New Roman" w:eastAsia="Times New Roman" w:hAnsi="Times New Roman" w:cs="Times New Roman"/>
          <w:sz w:val="24"/>
          <w:szCs w:val="24"/>
          <w:lang w:val="en-GB" w:eastAsia="en-US"/>
        </w:rPr>
        <w:t xml:space="preserve"> of the percent's of share of</w:t>
      </w:r>
      <w:r>
        <w:rPr>
          <w:rFonts w:ascii="Times New Roman" w:eastAsia="Times New Roman" w:hAnsi="Times New Roman" w:cs="Times New Roman"/>
          <w:sz w:val="24"/>
          <w:szCs w:val="24"/>
          <w:lang w:val="en-GB" w:eastAsia="en-US"/>
        </w:rPr>
        <w:t xml:space="preserve"> the initial organisation or company. Besides the article identifies the persons, who are holding senior management positions, as persons, who could be considered as the beneficial owners, if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after having exhausted all possible means and provided there ar</w:t>
      </w:r>
      <w:r>
        <w:rPr>
          <w:rFonts w:ascii="Times New Roman" w:eastAsia="Times New Roman" w:hAnsi="Times New Roman" w:cs="Times New Roman"/>
          <w:szCs w:val="24"/>
          <w:lang w:val="en-GB" w:eastAsia="en-US"/>
        </w:rPr>
        <w:t>e no grounds for suspicion, no person under point (i) is identified, or if there is any doubt that the person(s) identified are the beneficial owner(s),</w:t>
      </w:r>
      <w:r>
        <w:rPr>
          <w:rFonts w:ascii="Times New Roman" w:eastAsia="Times New Roman" w:hAnsi="Times New Roman" w:cs="Times New Roman"/>
          <w:szCs w:val="24"/>
          <w:vertAlign w:val="superscript"/>
          <w:lang w:val="en-GB" w:eastAsia="en-US"/>
        </w:rPr>
        <w:footnoteReference w:id="43"/>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In short beneficial owner itself is defined as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any natural person(s) who ultimately owns or controls </w:t>
      </w:r>
      <w:r>
        <w:rPr>
          <w:rFonts w:ascii="Times New Roman" w:eastAsia="Times New Roman" w:hAnsi="Times New Roman" w:cs="Times New Roman"/>
          <w:szCs w:val="24"/>
          <w:lang w:val="en-GB" w:eastAsia="en-US"/>
        </w:rPr>
        <w:t>the customer and/or the natural person(s) on whose behalf a transaction or activity is being conducted and includes at leas</w:t>
      </w:r>
      <w:r>
        <w:rPr>
          <w:rFonts w:ascii="Times New Roman" w:eastAsia="Times New Roman" w:hAnsi="Times New Roman" w:cs="Times New Roman"/>
          <w:szCs w:val="24"/>
          <w:lang w:val="en-GB" w:eastAsia="en-US"/>
        </w:rPr>
        <w:t>t</w:t>
      </w:r>
      <w:r>
        <w:rPr>
          <w:rFonts w:ascii="Times New Roman" w:eastAsia="Times New Roman" w:hAnsi="Times New Roman" w:cs="Times New Roman"/>
          <w:szCs w:val="24"/>
          <w:vertAlign w:val="superscript"/>
          <w:lang w:val="en-GB" w:eastAsia="en-US"/>
        </w:rPr>
        <w:footnoteReference w:id="44"/>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Further on the article makes a separation between the corporate, legal entities and trusts and brings amendments to the requiremen</w:t>
      </w:r>
      <w:r>
        <w:rPr>
          <w:rFonts w:ascii="Times New Roman" w:eastAsia="Times New Roman" w:hAnsi="Times New Roman" w:cs="Times New Roman"/>
          <w:sz w:val="24"/>
          <w:szCs w:val="24"/>
          <w:lang w:val="en-GB" w:eastAsia="en-US"/>
        </w:rPr>
        <w:t xml:space="preserve">ts for the trusts as well, bringing following requirements: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 the settlor;</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(ii) the trustee(s);</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(iii) the protector, if any;</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(iv) the beneficiaries, or where the individuals benefiting from the legal arrangement or entity have yet to be determined, the </w:t>
      </w:r>
      <w:r>
        <w:rPr>
          <w:rFonts w:ascii="Times New Roman" w:eastAsia="Times New Roman" w:hAnsi="Times New Roman" w:cs="Times New Roman"/>
          <w:szCs w:val="24"/>
          <w:lang w:val="en-GB" w:eastAsia="en-US"/>
        </w:rPr>
        <w:t>class of persons in whose main interest the legal arrangement or entity is set up or operates;</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(v) any other natural person exercising ultimate control over the trust by means of direct or indirect ownership or by other means;</w:t>
      </w:r>
      <w:r>
        <w:rPr>
          <w:rFonts w:ascii="Times New Roman" w:eastAsia="Times New Roman" w:hAnsi="Times New Roman" w:cs="Times New Roman"/>
          <w:szCs w:val="24"/>
          <w:vertAlign w:val="superscript"/>
          <w:lang w:val="en-GB" w:eastAsia="en-US"/>
        </w:rPr>
        <w:footnoteReference w:id="45"/>
      </w:r>
    </w:p>
    <w:p w:rsidR="003540B4" w:rsidRDefault="008C0147">
      <w:pPr>
        <w:pStyle w:val="NormalWeb"/>
        <w:shd w:val="clear" w:color="auto" w:fill="FFFFFF"/>
        <w:spacing w:beforeAutospacing="0" w:after="120" w:afterAutospacing="0" w:line="360" w:lineRule="auto"/>
        <w:jc w:val="both"/>
        <w:rPr>
          <w:rFonts w:eastAsia="Calibri"/>
          <w:lang w:val="en-GB" w:bidi="ar"/>
        </w:rPr>
      </w:pPr>
      <w:r>
        <w:rPr>
          <w:rFonts w:eastAsia="Times New Roman"/>
          <w:lang w:val="en-GB" w:eastAsia="en-US"/>
        </w:rPr>
        <w:t xml:space="preserve">Besides a separate article on legal entities has been added stating that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in the case of legal entities such as foundations, and legal arrangements similar to trusts, the natural person(s) holding equivalent or similar positions to those referred to in poi</w:t>
      </w:r>
      <w:r>
        <w:rPr>
          <w:rFonts w:ascii="Times New Roman" w:eastAsia="Times New Roman" w:hAnsi="Times New Roman" w:cs="Times New Roman"/>
          <w:szCs w:val="24"/>
          <w:lang w:val="en-GB" w:eastAsia="en-US"/>
        </w:rPr>
        <w:t>nt (b);</w:t>
      </w:r>
      <w:r>
        <w:rPr>
          <w:rFonts w:ascii="Times New Roman" w:eastAsia="Times New Roman" w:hAnsi="Times New Roman" w:cs="Times New Roman"/>
          <w:szCs w:val="24"/>
          <w:vertAlign w:val="superscript"/>
          <w:lang w:val="en-GB" w:eastAsia="en-US"/>
        </w:rPr>
        <w:footnoteReference w:id="46"/>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From purely grammatical perspective, when comparing two texts, in the amended article  larger attention by the legislator is paid to the concept of 25%</w:t>
      </w:r>
      <w:r>
        <w:rPr>
          <w:rFonts w:ascii="Times New Roman" w:eastAsia="Times New Roman" w:hAnsi="Times New Roman" w:cs="Times New Roman"/>
          <w:sz w:val="24"/>
          <w:szCs w:val="24"/>
          <w:lang w:val="en-GB" w:eastAsia="en-US"/>
        </w:rPr>
        <w:t xml:space="preserve"> of shares</w:t>
      </w:r>
      <w:r>
        <w:rPr>
          <w:rFonts w:ascii="Times New Roman" w:eastAsia="Times New Roman" w:hAnsi="Times New Roman" w:cs="Times New Roman"/>
          <w:sz w:val="24"/>
          <w:szCs w:val="24"/>
          <w:lang w:val="en-GB" w:eastAsia="en-US"/>
        </w:rPr>
        <w:t xml:space="preserve"> of the organisation belonging to one person. In section a(i)) on the corporate entities, and is on the other hand removed from section (b) on trusts, as it is in large no more defining the scope of aspects that a natural person should fit in, but using de</w:t>
      </w:r>
      <w:r>
        <w:rPr>
          <w:rFonts w:ascii="Times New Roman" w:eastAsia="Times New Roman" w:hAnsi="Times New Roman" w:cs="Times New Roman"/>
          <w:sz w:val="24"/>
          <w:szCs w:val="24"/>
          <w:lang w:val="en-GB" w:eastAsia="en-US"/>
        </w:rPr>
        <w:t xml:space="preserve">finitions of the positions in the corporate structure that shall be taken by them.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This amended definition is found to be clear and precise, as it is largely following the Financial Action Task Force Recommendations. It is found to add the indications of </w:t>
      </w:r>
      <w:r>
        <w:rPr>
          <w:rFonts w:ascii="Times New Roman" w:eastAsia="Times New Roman" w:hAnsi="Times New Roman" w:cs="Times New Roman"/>
          <w:sz w:val="24"/>
          <w:szCs w:val="24"/>
          <w:lang w:val="en-GB" w:eastAsia="en-US"/>
        </w:rPr>
        <w:t xml:space="preserve">persons who shall be considered as beneficial owners in respect of corporate entities, trusts and non-profit legal persons.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Regarding the corporate entities, it also provides an exception for a company listed on a regulated market that is subject to discl</w:t>
      </w:r>
      <w:r>
        <w:rPr>
          <w:rFonts w:ascii="Times New Roman" w:eastAsia="Times New Roman" w:hAnsi="Times New Roman" w:cs="Times New Roman"/>
          <w:szCs w:val="24"/>
          <w:lang w:eastAsia="en-US"/>
        </w:rPr>
        <w:t>osure requirements consistent with Union law or subject to equivalent international standards which ensure adequate transparency of ownership information and defines what direct ownership and indirect ownership</w:t>
      </w:r>
      <w:r>
        <w:rPr>
          <w:rFonts w:ascii="Times New Roman" w:eastAsia="Times New Roman" w:hAnsi="Times New Roman" w:cs="Times New Roman"/>
          <w:szCs w:val="24"/>
          <w:lang w:val="en-GB" w:eastAsia="en-US"/>
        </w:rPr>
        <w:t xml:space="preserve"> </w:t>
      </w:r>
      <w:r>
        <w:rPr>
          <w:rFonts w:ascii="Times New Roman" w:eastAsia="Times New Roman" w:hAnsi="Times New Roman" w:cs="Times New Roman"/>
          <w:szCs w:val="24"/>
          <w:lang w:eastAsia="en-US"/>
        </w:rPr>
        <w:t>means, setting under both definition a thresh</w:t>
      </w:r>
      <w:r>
        <w:rPr>
          <w:rFonts w:ascii="Times New Roman" w:eastAsia="Times New Roman" w:hAnsi="Times New Roman" w:cs="Times New Roman"/>
          <w:szCs w:val="24"/>
          <w:lang w:eastAsia="en-US"/>
        </w:rPr>
        <w:t>old of 25 per cent plus one share of the shares or voting rights or ownership interest in that entity as the limit above which the shareholding interest is relevant for consideration as an element of direct or indirect ownership.</w:t>
      </w:r>
      <w:r>
        <w:rPr>
          <w:rFonts w:ascii="Times New Roman" w:eastAsia="Times New Roman" w:hAnsi="Times New Roman" w:cs="Times New Roman"/>
          <w:szCs w:val="24"/>
          <w:vertAlign w:val="superscript"/>
          <w:lang w:eastAsia="en-US"/>
        </w:rPr>
        <w:footnoteReference w:id="47"/>
      </w:r>
    </w:p>
    <w:p w:rsidR="003540B4" w:rsidRDefault="008C0147">
      <w:pPr>
        <w:spacing w:after="0"/>
        <w:rPr>
          <w:rFonts w:ascii="Verdana" w:eastAsia="SimSun" w:hAnsi="Verdana" w:cs="Verdana"/>
          <w:color w:val="212121"/>
          <w:sz w:val="14"/>
          <w:szCs w:val="14"/>
          <w:lang w:val="en-GB" w:bidi="ar"/>
        </w:rPr>
      </w:pPr>
      <w:r>
        <w:rPr>
          <w:rFonts w:ascii="Verdana" w:eastAsia="SimSun" w:hAnsi="Verdana" w:cs="Verdana"/>
          <w:color w:val="212121"/>
          <w:sz w:val="14"/>
          <w:szCs w:val="14"/>
          <w:lang w:val="en-GB" w:bidi="ar"/>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On the other hand, even</w:t>
      </w:r>
      <w:r>
        <w:rPr>
          <w:rFonts w:ascii="Times New Roman" w:eastAsia="Times New Roman" w:hAnsi="Times New Roman" w:cs="Times New Roman"/>
          <w:sz w:val="24"/>
          <w:szCs w:val="24"/>
          <w:lang w:val="en-GB" w:eastAsia="en-US"/>
        </w:rPr>
        <w:t xml:space="preserve"> though the article is longer in terms of wording, it still contains such terms, as “ownership”, </w:t>
      </w:r>
      <w:r>
        <w:rPr>
          <w:rFonts w:ascii="Times New Roman" w:eastAsia="Times New Roman" w:hAnsi="Times New Roman" w:cs="Times New Roman"/>
          <w:sz w:val="24"/>
          <w:szCs w:val="24"/>
          <w:lang w:eastAsia="en-US"/>
        </w:rPr>
        <w:t xml:space="preserve"> "control structure" and "the beneficial ownership interest"</w:t>
      </w:r>
      <w:r>
        <w:rPr>
          <w:rFonts w:ascii="Times New Roman" w:eastAsia="Times New Roman" w:hAnsi="Times New Roman" w:cs="Times New Roman"/>
          <w:sz w:val="24"/>
          <w:szCs w:val="24"/>
          <w:lang w:val="en-GB" w:eastAsia="en-US"/>
        </w:rPr>
        <w:t>, which are not themselves defined in the legal norm, but are given an indirect definition in the 2</w:t>
      </w:r>
      <w:r>
        <w:rPr>
          <w:rFonts w:ascii="Times New Roman" w:eastAsia="Times New Roman" w:hAnsi="Times New Roman" w:cs="Times New Roman"/>
          <w:sz w:val="24"/>
          <w:szCs w:val="24"/>
          <w:lang w:eastAsia="en-US"/>
        </w:rPr>
        <w:t>014 FATF Guidance on Transparency and Beneficial Ownershi</w:t>
      </w:r>
      <w:r>
        <w:rPr>
          <w:rFonts w:ascii="Times New Roman" w:eastAsia="Times New Roman" w:hAnsi="Times New Roman" w:cs="Times New Roman"/>
          <w:sz w:val="24"/>
          <w:szCs w:val="24"/>
          <w:lang w:val="en-GB" w:eastAsia="en-US"/>
        </w:rPr>
        <w:t xml:space="preserve">p, which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clarify that the expressions "ultimately owns or controls" and "ultimate effective control" refer to situations in which ownership or control is exercised through a chain of ownership or by</w:t>
      </w:r>
      <w:r>
        <w:rPr>
          <w:rFonts w:ascii="Times New Roman" w:eastAsia="Times New Roman" w:hAnsi="Times New Roman" w:cs="Times New Roman"/>
          <w:szCs w:val="24"/>
          <w:lang w:eastAsia="en-US"/>
        </w:rPr>
        <w:t xml:space="preserve"> means of control other than direct control.</w:t>
      </w:r>
      <w:r>
        <w:rPr>
          <w:rFonts w:ascii="Times New Roman" w:eastAsia="Times New Roman" w:hAnsi="Times New Roman" w:cs="Times New Roman"/>
          <w:szCs w:val="24"/>
          <w:vertAlign w:val="superscript"/>
          <w:lang w:eastAsia="en-US"/>
        </w:rPr>
        <w:footnoteReference w:id="48"/>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Summing up the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Directive 2015/849 does not define the corresponding notions of ownership and control structure or the notion of the beneficial ownership interest.</w:t>
      </w:r>
      <w:hyperlink r:id="rId10" w:anchor="targetfn23" w:history="1"/>
      <w:r>
        <w:rPr>
          <w:rFonts w:ascii="Times New Roman" w:eastAsia="Times New Roman" w:hAnsi="Times New Roman" w:cs="Times New Roman"/>
          <w:szCs w:val="24"/>
          <w:vertAlign w:val="superscript"/>
          <w:lang w:eastAsia="en-US"/>
        </w:rPr>
        <w:footnoteReference w:id="49"/>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Besides, Dir</w:t>
      </w:r>
      <w:r>
        <w:rPr>
          <w:rFonts w:ascii="Times New Roman" w:eastAsia="Times New Roman" w:hAnsi="Times New Roman" w:cs="Times New Roman"/>
          <w:sz w:val="24"/>
          <w:szCs w:val="24"/>
          <w:lang w:val="en-GB" w:eastAsia="en-US"/>
        </w:rPr>
        <w:t>ective imposes an obligation to inspect the corporate ownership and control structures of the legal body customers of the</w:t>
      </w:r>
      <w:r>
        <w:rPr>
          <w:rFonts w:ascii="Times New Roman" w:eastAsia="Times New Roman" w:hAnsi="Times New Roman" w:cs="Times New Roman"/>
          <w:sz w:val="24"/>
          <w:szCs w:val="24"/>
          <w:lang w:eastAsia="en-US"/>
        </w:rPr>
        <w:t xml:space="preserve"> financial institutions and designated non-financial bodies and professions</w:t>
      </w:r>
      <w:r>
        <w:rPr>
          <w:rFonts w:ascii="Times New Roman" w:eastAsia="Times New Roman" w:hAnsi="Times New Roman" w:cs="Times New Roman"/>
          <w:sz w:val="24"/>
          <w:szCs w:val="24"/>
          <w:lang w:val="en-GB" w:eastAsia="en-US"/>
        </w:rPr>
        <w:t xml:space="preserve"> , as well as imposes an obligation on the legal persons to</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eastAsia="en-US"/>
        </w:rPr>
        <w:t xml:space="preserve">register in the </w:t>
      </w:r>
      <w:r>
        <w:rPr>
          <w:rFonts w:ascii="Times New Roman" w:eastAsia="Times New Roman" w:hAnsi="Times New Roman" w:cs="Times New Roman"/>
          <w:sz w:val="24"/>
          <w:szCs w:val="24"/>
          <w:lang w:val="en-GB" w:eastAsia="en-US"/>
        </w:rPr>
        <w:t xml:space="preserve">database </w:t>
      </w:r>
      <w:r>
        <w:rPr>
          <w:rFonts w:ascii="Times New Roman" w:eastAsia="Times New Roman" w:hAnsi="Times New Roman" w:cs="Times New Roman"/>
          <w:sz w:val="24"/>
          <w:szCs w:val="24"/>
          <w:lang w:eastAsia="en-US"/>
        </w:rPr>
        <w:t>their beneficial ownership interest next to their beneficial owners</w:t>
      </w:r>
      <w:r>
        <w:rPr>
          <w:rFonts w:ascii="Times New Roman" w:eastAsia="Times New Roman" w:hAnsi="Times New Roman" w:cs="Times New Roman"/>
          <w:sz w:val="24"/>
          <w:szCs w:val="24"/>
          <w:lang w:val="en-GB" w:eastAsia="en-US"/>
        </w:rPr>
        <w:t xml:space="preserve">.  As well, as the Directive stipulates that the information on the beneficial owner, his nature and extent of interest shall be accessible </w:t>
      </w:r>
      <w:r>
        <w:rPr>
          <w:rFonts w:ascii="Times New Roman" w:eastAsia="Times New Roman" w:hAnsi="Times New Roman" w:cs="Times New Roman"/>
          <w:sz w:val="24"/>
          <w:szCs w:val="24"/>
          <w:lang w:eastAsia="en-US"/>
        </w:rPr>
        <w:t>to public authorities, o</w:t>
      </w:r>
      <w:r>
        <w:rPr>
          <w:rFonts w:ascii="Times New Roman" w:eastAsia="Times New Roman" w:hAnsi="Times New Roman" w:cs="Times New Roman"/>
          <w:sz w:val="24"/>
          <w:szCs w:val="24"/>
          <w:lang w:eastAsia="en-US"/>
        </w:rPr>
        <w:t>bliged entities and any person or organisation that can demonstrate a legitimate interest</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Even though, the term is defined within the framework of this legislative act, it still remained vague, as for example different natural persons will be fitting wit</w:t>
      </w:r>
      <w:r>
        <w:rPr>
          <w:rFonts w:ascii="Times New Roman" w:eastAsia="Times New Roman" w:hAnsi="Times New Roman" w:cs="Times New Roman"/>
          <w:sz w:val="24"/>
          <w:szCs w:val="24"/>
          <w:lang w:val="en-GB" w:eastAsia="en-US"/>
        </w:rPr>
        <w:t xml:space="preserve">hin the definition of the beneficial owner under 4th AML Directives and </w:t>
      </w:r>
      <w:r>
        <w:rPr>
          <w:rFonts w:ascii="Times New Roman" w:eastAsia="Times New Roman" w:hAnsi="Times New Roman" w:cs="Times New Roman"/>
          <w:sz w:val="24"/>
          <w:szCs w:val="24"/>
          <w:lang w:eastAsia="en-US"/>
        </w:rPr>
        <w:t>the EU public money and international and anti-terrorist sanctions legislation</w:t>
      </w:r>
      <w:r>
        <w:rPr>
          <w:rFonts w:ascii="Times New Roman" w:eastAsia="Times New Roman" w:hAnsi="Times New Roman" w:cs="Times New Roman"/>
          <w:sz w:val="24"/>
          <w:szCs w:val="24"/>
          <w:lang w:val="en-GB" w:eastAsia="en-US"/>
        </w:rPr>
        <w:t xml:space="preserve">. Following example created by </w:t>
      </w:r>
      <w:r>
        <w:rPr>
          <w:rFonts w:ascii="Times New Roman" w:eastAsia="Times New Roman" w:hAnsi="Times New Roman" w:cs="Times New Roman"/>
          <w:sz w:val="24"/>
          <w:szCs w:val="24"/>
          <w:lang w:eastAsia="en-US"/>
        </w:rPr>
        <w:t>Ondřej Vondráček</w:t>
      </w:r>
      <w:r>
        <w:rPr>
          <w:rFonts w:ascii="Times New Roman" w:eastAsia="Times New Roman" w:hAnsi="Times New Roman" w:cs="Times New Roman"/>
          <w:sz w:val="24"/>
          <w:szCs w:val="24"/>
          <w:lang w:val="en-GB" w:eastAsia="en-US"/>
        </w:rPr>
        <w:t xml:space="preserve"> and </w:t>
      </w:r>
      <w:r>
        <w:rPr>
          <w:rFonts w:ascii="Times New Roman" w:eastAsia="Times New Roman" w:hAnsi="Times New Roman" w:cs="Times New Roman"/>
          <w:sz w:val="24"/>
          <w:szCs w:val="24"/>
          <w:lang w:eastAsia="en-US"/>
        </w:rPr>
        <w:t>David Ondráčka </w:t>
      </w:r>
      <w:r>
        <w:rPr>
          <w:rFonts w:ascii="Times New Roman" w:eastAsia="Times New Roman" w:hAnsi="Times New Roman" w:cs="Times New Roman"/>
          <w:sz w:val="24"/>
          <w:szCs w:val="24"/>
          <w:lang w:val="en-GB" w:eastAsia="en-US"/>
        </w:rPr>
        <w:t>in “</w:t>
      </w:r>
      <w:r>
        <w:rPr>
          <w:rFonts w:ascii="Times New Roman" w:eastAsia="Times New Roman" w:hAnsi="Times New Roman" w:cs="Times New Roman"/>
          <w:sz w:val="24"/>
          <w:szCs w:val="24"/>
          <w:lang w:eastAsia="en-US"/>
        </w:rPr>
        <w:t>Ownership structures and beneficial</w:t>
      </w:r>
      <w:r>
        <w:rPr>
          <w:rFonts w:ascii="Times New Roman" w:eastAsia="Times New Roman" w:hAnsi="Times New Roman" w:cs="Times New Roman"/>
          <w:sz w:val="24"/>
          <w:szCs w:val="24"/>
          <w:lang w:eastAsia="en-US"/>
        </w:rPr>
        <w:t xml:space="preserve"> ownership: registering and investigating the unknown</w:t>
      </w:r>
      <w:r>
        <w:rPr>
          <w:rFonts w:ascii="Times New Roman" w:eastAsia="Times New Roman" w:hAnsi="Times New Roman" w:cs="Times New Roman"/>
          <w:sz w:val="24"/>
          <w:szCs w:val="24"/>
          <w:lang w:val="en-GB" w:eastAsia="en-US"/>
        </w:rPr>
        <w:t xml:space="preserve">” will illustrate the factual application of the term in a theoretical case.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 company A is owned by two other shareholders B ( a company) and C ( a natural person) with division of interest 60% and 40%</w:t>
      </w:r>
      <w:r>
        <w:rPr>
          <w:rFonts w:ascii="Times New Roman" w:eastAsia="Times New Roman" w:hAnsi="Times New Roman" w:cs="Times New Roman"/>
          <w:sz w:val="24"/>
          <w:szCs w:val="24"/>
          <w:lang w:val="en-GB" w:eastAsia="en-US"/>
        </w:rPr>
        <w:t xml:space="preserve"> respectively. Further on company B, who is a 60% shareholder of company A, is owned by company D and 2 natural persons: E, F with following shareholding division 50%/ 25%/ 25% respectively. At the final stage company D is for 100% belonging to G, </w:t>
      </w:r>
      <w:r>
        <w:rPr>
          <w:rFonts w:ascii="Times New Roman" w:eastAsia="Times New Roman" w:hAnsi="Times New Roman" w:cs="Times New Roman"/>
          <w:sz w:val="24"/>
          <w:szCs w:val="24"/>
          <w:lang w:eastAsia="en-US"/>
        </w:rPr>
        <w:t>which is</w:t>
      </w:r>
      <w:r>
        <w:rPr>
          <w:rFonts w:ascii="Times New Roman" w:eastAsia="Times New Roman" w:hAnsi="Times New Roman" w:cs="Times New Roman"/>
          <w:sz w:val="24"/>
          <w:szCs w:val="24"/>
          <w:lang w:eastAsia="en-US"/>
        </w:rPr>
        <w:t xml:space="preserve"> an ultimate public organisation, for example a state</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In this case, if the principle of 25% shares ownership is an identificator of an beneficial owner 2 persons will be fitting within it: C- a natural person who is holding 40% of the company A at the fi</w:t>
      </w:r>
      <w:r>
        <w:rPr>
          <w:rFonts w:ascii="Times New Roman" w:eastAsia="Times New Roman" w:hAnsi="Times New Roman" w:cs="Times New Roman"/>
          <w:sz w:val="24"/>
          <w:szCs w:val="24"/>
          <w:lang w:val="en-GB" w:eastAsia="en-US"/>
        </w:rPr>
        <w:t>rst ownership level and company G, who is a 30% of shares owner at the end of the ownership control chain. As public organisations under the researched Directive are not identifiable, as the beneficial owners, this leaves the company with only one benefici</w:t>
      </w:r>
      <w:r>
        <w:rPr>
          <w:rFonts w:ascii="Times New Roman" w:eastAsia="Times New Roman" w:hAnsi="Times New Roman" w:cs="Times New Roman"/>
          <w:sz w:val="24"/>
          <w:szCs w:val="24"/>
          <w:lang w:val="en-GB" w:eastAsia="en-US"/>
        </w:rPr>
        <w:t>al owner- D, which is not true as the fact. Besides, as the company D is owned by the ultimate public organisation, which in itself does not have any beneficial owner from the definition, thus “</w:t>
      </w:r>
      <w:r>
        <w:rPr>
          <w:rFonts w:ascii="Times New Roman" w:eastAsia="Times New Roman" w:hAnsi="Times New Roman" w:cs="Times New Roman"/>
          <w:sz w:val="24"/>
          <w:szCs w:val="24"/>
          <w:lang w:eastAsia="en-US"/>
        </w:rPr>
        <w:t>D’s beneficial owner would be the so-called beneficial owner-i</w:t>
      </w:r>
      <w:r>
        <w:rPr>
          <w:rFonts w:ascii="Times New Roman" w:eastAsia="Times New Roman" w:hAnsi="Times New Roman" w:cs="Times New Roman"/>
          <w:sz w:val="24"/>
          <w:szCs w:val="24"/>
          <w:lang w:eastAsia="en-US"/>
        </w:rPr>
        <w:t>n lieu, i.e. D’s director.</w:t>
      </w:r>
      <w:r>
        <w:rPr>
          <w:rFonts w:ascii="Times New Roman" w:eastAsia="Times New Roman" w:hAnsi="Times New Roman" w:cs="Times New Roman"/>
          <w:sz w:val="24"/>
          <w:szCs w:val="24"/>
          <w:vertAlign w:val="superscript"/>
          <w:lang w:eastAsia="en-US"/>
        </w:rPr>
        <w:footnoteReference w:id="50"/>
      </w:r>
      <w:r>
        <w:rPr>
          <w:rFonts w:ascii="Times New Roman" w:eastAsia="Times New Roman" w:hAnsi="Times New Roman" w:cs="Times New Roman"/>
          <w:sz w:val="24"/>
          <w:szCs w:val="24"/>
          <w:lang w:val="en-GB" w:eastAsia="en-US"/>
        </w:rPr>
        <w:t>”</w:t>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 xml:space="preserve">On the other hand, </w:t>
      </w:r>
      <w:r>
        <w:rPr>
          <w:rFonts w:ascii="Times New Roman" w:eastAsia="Times New Roman" w:hAnsi="Times New Roman" w:cs="Times New Roman"/>
          <w:sz w:val="24"/>
          <w:szCs w:val="24"/>
          <w:lang w:val="lv-LV" w:eastAsia="en-US"/>
        </w:rPr>
        <w:t xml:space="preserve"> as the author</w:t>
      </w:r>
      <w:r>
        <w:rPr>
          <w:rFonts w:ascii="Times New Roman" w:eastAsia="Times New Roman" w:hAnsi="Times New Roman" w:cs="Times New Roman"/>
          <w:sz w:val="24"/>
          <w:szCs w:val="24"/>
          <w:lang w:val="en-GB" w:eastAsia="en-US"/>
        </w:rPr>
        <w:t>s</w:t>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 xml:space="preserve">are </w:t>
      </w:r>
      <w:r>
        <w:rPr>
          <w:rFonts w:ascii="Times New Roman" w:eastAsia="Times New Roman" w:hAnsi="Times New Roman" w:cs="Times New Roman"/>
          <w:sz w:val="24"/>
          <w:szCs w:val="24"/>
          <w:lang w:val="lv-LV" w:eastAsia="en-US"/>
        </w:rPr>
        <w:t xml:space="preserve">stipulating under </w:t>
      </w:r>
      <w:hyperlink r:id="rId11" w:history="1">
        <w:r>
          <w:rPr>
            <w:rFonts w:ascii="Times New Roman" w:eastAsia="Times New Roman" w:hAnsi="Times New Roman" w:cs="Times New Roman"/>
            <w:sz w:val="24"/>
            <w:szCs w:val="24"/>
            <w:lang w:val="en-GB" w:eastAsia="en-US"/>
          </w:rPr>
          <w:t>Regulation 2001/2580</w:t>
        </w:r>
      </w:hyperlink>
      <w:r>
        <w:rPr>
          <w:rFonts w:ascii="Times New Roman" w:eastAsia="Times New Roman" w:hAnsi="Times New Roman" w:cs="Times New Roman"/>
          <w:sz w:val="24"/>
          <w:szCs w:val="24"/>
          <w:lang w:eastAsia="en-US"/>
        </w:rPr>
        <w:t> </w:t>
      </w:r>
      <w:r>
        <w:rPr>
          <w:rFonts w:ascii="Times New Roman" w:eastAsia="Times New Roman" w:hAnsi="Times New Roman" w:cs="Times New Roman"/>
          <w:sz w:val="24"/>
          <w:szCs w:val="24"/>
          <w:lang w:val="lv-LV" w:eastAsia="en-US"/>
        </w:rPr>
        <w:t xml:space="preserve">on </w:t>
      </w:r>
      <w:r>
        <w:rPr>
          <w:rFonts w:ascii="Times New Roman" w:eastAsia="Times New Roman" w:hAnsi="Times New Roman" w:cs="Times New Roman"/>
          <w:sz w:val="24"/>
          <w:szCs w:val="24"/>
          <w:lang w:eastAsia="en-US"/>
        </w:rPr>
        <w:t>international and anti-terrorist sanctions</w:t>
      </w:r>
      <w:r>
        <w:rPr>
          <w:rFonts w:ascii="Times New Roman" w:eastAsia="Times New Roman" w:hAnsi="Times New Roman" w:cs="Times New Roman"/>
          <w:sz w:val="24"/>
          <w:szCs w:val="24"/>
          <w:lang w:val="lv-LV" w:eastAsia="en-US"/>
        </w:rPr>
        <w:t>, as the beneficial owner G would have been considered, as it acknowledge the ultimate public o</w:t>
      </w:r>
      <w:r>
        <w:rPr>
          <w:rFonts w:ascii="Times New Roman" w:eastAsia="Times New Roman" w:hAnsi="Times New Roman" w:cs="Times New Roman"/>
          <w:sz w:val="24"/>
          <w:szCs w:val="24"/>
          <w:lang w:val="lv-LV" w:eastAsia="en-US"/>
        </w:rPr>
        <w:t xml:space="preserve">rganisations to be fitting within their definition of the </w:t>
      </w:r>
      <w:r>
        <w:rPr>
          <w:rFonts w:ascii="Times New Roman" w:eastAsia="Times New Roman" w:hAnsi="Times New Roman" w:cs="Times New Roman"/>
          <w:sz w:val="24"/>
          <w:szCs w:val="24"/>
          <w:lang w:val="en-GB" w:eastAsia="en-US"/>
        </w:rPr>
        <w:t>beneficial owner</w:t>
      </w:r>
      <w:r>
        <w:rPr>
          <w:rFonts w:ascii="Times New Roman" w:eastAsia="Times New Roman" w:hAnsi="Times New Roman" w:cs="Times New Roman"/>
          <w:sz w:val="24"/>
          <w:szCs w:val="24"/>
          <w:lang w:val="lv-LV"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by contrast, owing to the threshold of 50 per cent + one share, the latter rules would not consider person C with 40 per cent in A as a beneficial owner. Finally, under the above-</w:t>
      </w:r>
      <w:r>
        <w:rPr>
          <w:rFonts w:ascii="Times New Roman" w:eastAsia="Times New Roman" w:hAnsi="Times New Roman" w:cs="Times New Roman"/>
          <w:szCs w:val="24"/>
          <w:lang w:eastAsia="en-US"/>
        </w:rPr>
        <w:t>mentioned public money rules, depending on the interpretation of the responsible public officer, the person with ultimate control (beneficial owner) could be either company B (as a person with direct control over public money recipient A</w:t>
      </w:r>
      <w:hyperlink r:id="rId12" w:anchor="targetfn49" w:history="1">
        <w:r>
          <w:rPr>
            <w:rFonts w:ascii="Times New Roman" w:eastAsia="Times New Roman" w:hAnsi="Times New Roman" w:cs="Times New Roman"/>
            <w:szCs w:val="24"/>
            <w:lang w:val="en-GB" w:eastAsia="en-US"/>
          </w:rPr>
          <w:t>49</w:t>
        </w:r>
      </w:hyperlink>
      <w:r>
        <w:rPr>
          <w:rFonts w:ascii="Times New Roman" w:eastAsia="Times New Roman" w:hAnsi="Times New Roman" w:cs="Times New Roman"/>
          <w:szCs w:val="24"/>
          <w:lang w:eastAsia="en-US"/>
        </w:rPr>
        <w:t>) or ultimate public organisation G on its own (as a person with indirect, ultimate control over public money recipient A</w:t>
      </w:r>
      <w:hyperlink r:id="rId13" w:anchor="targetfn50" w:history="1">
        <w:r>
          <w:rPr>
            <w:rFonts w:ascii="Times New Roman" w:eastAsia="Times New Roman" w:hAnsi="Times New Roman" w:cs="Times New Roman"/>
            <w:szCs w:val="24"/>
            <w:lang w:val="en-GB" w:eastAsia="en-US"/>
          </w:rPr>
          <w:t>50</w:t>
        </w:r>
      </w:hyperlink>
      <w:r>
        <w:rPr>
          <w:rFonts w:ascii="Times New Roman" w:eastAsia="Times New Roman" w:hAnsi="Times New Roman" w:cs="Times New Roman"/>
          <w:szCs w:val="24"/>
          <w:lang w:eastAsia="en-US"/>
        </w:rPr>
        <w:t>).</w:t>
      </w:r>
      <w:r>
        <w:rPr>
          <w:rFonts w:ascii="Times New Roman" w:eastAsia="Times New Roman" w:hAnsi="Times New Roman" w:cs="Times New Roman"/>
          <w:szCs w:val="24"/>
          <w:vertAlign w:val="superscript"/>
          <w:lang w:eastAsia="en-US"/>
        </w:rPr>
        <w:footnoteReference w:id="51"/>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This is a theoretical example of how difference in definitions in multiple legislative act leads to contradicting results, and thus does not allow to achieve the common aim of prevention of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fighting the conflicts of interest and corruption, and preventing</w:t>
      </w:r>
      <w:r>
        <w:rPr>
          <w:rFonts w:ascii="Times New Roman" w:eastAsia="Times New Roman" w:hAnsi="Times New Roman" w:cs="Times New Roman"/>
          <w:szCs w:val="24"/>
          <w:lang w:eastAsia="en-US"/>
        </w:rPr>
        <w:t xml:space="preserve"> the financing of persons under anti-terrorist or international sanctions from public budgets.</w:t>
      </w:r>
      <w:r>
        <w:rPr>
          <w:rFonts w:ascii="Times New Roman" w:eastAsia="Times New Roman" w:hAnsi="Times New Roman" w:cs="Times New Roman"/>
          <w:szCs w:val="24"/>
          <w:vertAlign w:val="superscript"/>
          <w:lang w:eastAsia="en-US"/>
        </w:rPr>
        <w:footnoteReference w:id="52"/>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norms that are following the same or similar aims should be complementary, thus should have a unified list of definitions and subject of the norms, otherwis</w:t>
      </w:r>
      <w:r>
        <w:rPr>
          <w:rFonts w:ascii="Times New Roman" w:eastAsia="Times New Roman" w:hAnsi="Times New Roman" w:cs="Times New Roman"/>
          <w:sz w:val="24"/>
          <w:szCs w:val="24"/>
          <w:lang w:val="en-GB" w:eastAsia="en-US"/>
        </w:rPr>
        <w:t>e it violates the aim of the legislative act creating misunderstandings, gaps and produces contradictory results. Although it precisely describes the situation that was true as the fact whilst those two norms were not amended and were in force, as those we</w:t>
      </w:r>
      <w:r>
        <w:rPr>
          <w:rFonts w:ascii="Times New Roman" w:eastAsia="Times New Roman" w:hAnsi="Times New Roman" w:cs="Times New Roman"/>
          <w:sz w:val="24"/>
          <w:szCs w:val="24"/>
          <w:lang w:val="en-GB" w:eastAsia="en-US"/>
        </w:rPr>
        <w:t xml:space="preserve">re. </w:t>
      </w:r>
    </w:p>
    <w:p w:rsidR="003540B4" w:rsidRDefault="008C0147">
      <w:pPr>
        <w:pStyle w:val="RGSLNormal"/>
        <w:jc w:val="both"/>
        <w:rPr>
          <w:rFonts w:ascii="Times New Roman" w:eastAsia="Calibri" w:hAnsi="Times New Roman" w:cs="Times New Roman"/>
          <w:sz w:val="24"/>
          <w:szCs w:val="24"/>
          <w:lang w:val="en-GB" w:bidi="ar"/>
        </w:rPr>
      </w:pPr>
      <w:r>
        <w:rPr>
          <w:rFonts w:ascii="Times New Roman" w:eastAsia="Times New Roman" w:hAnsi="Times New Roman" w:cs="Times New Roman"/>
          <w:sz w:val="24"/>
          <w:szCs w:val="24"/>
          <w:lang w:val="en-GB" w:eastAsia="en-US"/>
        </w:rPr>
        <w:t xml:space="preserve">The final directive 2018/843 is bringing following amendments to the definition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(b) in point (6), point (b) is replaced by the following: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(b) in the case of trusts, all following persons: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(i) the settlor(s); (ii) the trustee(s);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(iii) the protector(s), if any;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 xml:space="preserve">(iv) the beneficiaries or where the individuals benefiting from the legal arrangement or entity have yet to be determined, the class of persons in whose main interest the legal arrangement or entity is set up or operates;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(v) any other natural person exercising ultimate control over the trust by means of direct or indirect ownership or by other means;</w:t>
      </w:r>
      <w:r>
        <w:rPr>
          <w:rFonts w:ascii="Times New Roman" w:eastAsia="Times New Roman" w:hAnsi="Times New Roman" w:cs="Times New Roman"/>
          <w:szCs w:val="24"/>
          <w:vertAlign w:val="superscript"/>
          <w:lang w:val="en-GB" w:eastAsia="en-US"/>
        </w:rPr>
        <w:footnoteReference w:id="53"/>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Besides the changes in the definition of the beneficial owner the directive has also brought amendments regarding </w:t>
      </w:r>
      <w:r>
        <w:rPr>
          <w:rFonts w:ascii="Times New Roman" w:eastAsia="Times New Roman" w:hAnsi="Times New Roman" w:cs="Times New Roman"/>
          <w:sz w:val="24"/>
          <w:szCs w:val="24"/>
          <w:lang w:eastAsia="en-US"/>
        </w:rPr>
        <w:t>Central B</w:t>
      </w:r>
      <w:r>
        <w:rPr>
          <w:rFonts w:ascii="Times New Roman" w:eastAsia="Times New Roman" w:hAnsi="Times New Roman" w:cs="Times New Roman"/>
          <w:sz w:val="24"/>
          <w:szCs w:val="24"/>
          <w:lang w:eastAsia="en-US"/>
        </w:rPr>
        <w:t>eneficial Ownership Registers</w:t>
      </w:r>
      <w:r>
        <w:rPr>
          <w:rFonts w:ascii="Times New Roman" w:eastAsia="Times New Roman" w:hAnsi="Times New Roman" w:cs="Times New Roman"/>
          <w:sz w:val="24"/>
          <w:szCs w:val="24"/>
          <w:lang w:val="en-GB" w:eastAsia="en-US"/>
        </w:rPr>
        <w:t xml:space="preserve"> in the European Union Members States. Those stipulate that such register “</w:t>
      </w:r>
      <w:r>
        <w:rPr>
          <w:rFonts w:ascii="Times New Roman" w:eastAsia="Times New Roman" w:hAnsi="Times New Roman" w:cs="Times New Roman"/>
          <w:sz w:val="24"/>
          <w:szCs w:val="24"/>
          <w:lang w:eastAsia="en-US"/>
        </w:rPr>
        <w:t>for corporate or other legal entities are available to any member of the general public</w:t>
      </w:r>
      <w:r>
        <w:rPr>
          <w:rFonts w:ascii="Times New Roman" w:eastAsia="Times New Roman" w:hAnsi="Times New Roman" w:cs="Times New Roman"/>
          <w:sz w:val="24"/>
          <w:szCs w:val="24"/>
          <w:vertAlign w:val="superscript"/>
          <w:lang w:eastAsia="en-US"/>
        </w:rPr>
        <w:footnoteReference w:id="54"/>
      </w:r>
      <w:r>
        <w:rPr>
          <w:rFonts w:ascii="Times New Roman" w:eastAsia="Times New Roman" w:hAnsi="Times New Roman" w:cs="Times New Roman"/>
          <w:sz w:val="24"/>
          <w:szCs w:val="24"/>
          <w:lang w:val="en-GB" w:eastAsia="en-US"/>
        </w:rPr>
        <w:t>” with amendments brought to article 30 of the previous Directiv</w:t>
      </w:r>
      <w:r>
        <w:rPr>
          <w:rFonts w:ascii="Times New Roman" w:eastAsia="Times New Roman" w:hAnsi="Times New Roman" w:cs="Times New Roman"/>
          <w:sz w:val="24"/>
          <w:szCs w:val="24"/>
          <w:lang w:val="en-GB" w:eastAsia="en-US"/>
        </w:rPr>
        <w:t xml:space="preserve">e identified in art 1 paragraph 15 (c) of the 2018/843 Directive. As it </w:t>
      </w:r>
      <w:r>
        <w:rPr>
          <w:rFonts w:ascii="Times New Roman" w:eastAsia="Times New Roman" w:hAnsi="Times New Roman" w:cs="Times New Roman"/>
          <w:sz w:val="24"/>
          <w:szCs w:val="24"/>
          <w:lang w:val="lv-LV" w:eastAsia="en-US"/>
        </w:rPr>
        <w:t xml:space="preserve">was previously mentioned the predecessing directive imposed that the register is accessible on the basis of the existence of the legitimate interest to the members of general public. In the 5th AML Directive the information regarding the beneficial owners </w:t>
      </w:r>
      <w:r>
        <w:rPr>
          <w:rFonts w:ascii="Times New Roman" w:eastAsia="Times New Roman" w:hAnsi="Times New Roman" w:cs="Times New Roman"/>
          <w:sz w:val="24"/>
          <w:szCs w:val="24"/>
          <w:lang w:val="lv-LV" w:eastAsia="en-US"/>
        </w:rPr>
        <w:t xml:space="preserve">of </w:t>
      </w:r>
      <w:r>
        <w:rPr>
          <w:rFonts w:ascii="Times New Roman" w:eastAsia="Times New Roman" w:hAnsi="Times New Roman" w:cs="Times New Roman"/>
          <w:sz w:val="24"/>
          <w:szCs w:val="24"/>
          <w:lang w:val="en-GB" w:eastAsia="en-US"/>
        </w:rPr>
        <w:t>t</w:t>
      </w:r>
      <w:r>
        <w:rPr>
          <w:rFonts w:ascii="Times New Roman" w:eastAsia="Times New Roman" w:hAnsi="Times New Roman" w:cs="Times New Roman"/>
          <w:sz w:val="24"/>
          <w:szCs w:val="24"/>
          <w:lang w:val="lv-LV" w:eastAsia="en-US"/>
        </w:rPr>
        <w:t>rusts has become a subject to disclosure to the general public as well, besides only being available to competent entities and authorities</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lv-LV" w:eastAsia="en-US"/>
        </w:rPr>
        <w:footnoteReference w:id="55"/>
      </w:r>
      <w:r>
        <w:rPr>
          <w:rFonts w:ascii="Times New Roman" w:eastAsia="Times New Roman" w:hAnsi="Times New Roman" w:cs="Times New Roman"/>
          <w:sz w:val="24"/>
          <w:szCs w:val="24"/>
          <w:lang w:val="en-GB" w:eastAsia="en-US"/>
        </w:rPr>
        <w:t xml:space="preserve"> As well as according to </w:t>
      </w:r>
      <w:r>
        <w:rPr>
          <w:rFonts w:ascii="Times New Roman" w:eastAsia="Times New Roman" w:hAnsi="Times New Roman" w:cs="Times New Roman"/>
          <w:sz w:val="24"/>
          <w:szCs w:val="24"/>
          <w:lang w:eastAsia="en-US"/>
        </w:rPr>
        <w:t>art. 1, para.15 (g)</w:t>
      </w:r>
      <w:r>
        <w:rPr>
          <w:rFonts w:ascii="Times New Roman" w:eastAsia="Times New Roman" w:hAnsi="Times New Roman" w:cs="Times New Roman"/>
          <w:sz w:val="24"/>
          <w:szCs w:val="24"/>
          <w:lang w:val="en-GB" w:eastAsia="en-US"/>
        </w:rPr>
        <w:t xml:space="preserve"> the Member States are required to connect central re</w:t>
      </w:r>
      <w:r>
        <w:rPr>
          <w:rFonts w:ascii="Times New Roman" w:eastAsia="Times New Roman" w:hAnsi="Times New Roman" w:cs="Times New Roman"/>
          <w:sz w:val="24"/>
          <w:szCs w:val="24"/>
          <w:lang w:eastAsia="en-US"/>
        </w:rPr>
        <w:t>gisters via the</w:t>
      </w:r>
      <w:r>
        <w:rPr>
          <w:rFonts w:ascii="Times New Roman" w:eastAsia="Times New Roman" w:hAnsi="Times New Roman" w:cs="Times New Roman"/>
          <w:sz w:val="24"/>
          <w:szCs w:val="24"/>
          <w:lang w:eastAsia="en-US"/>
        </w:rPr>
        <w:t xml:space="preserve"> “European Central Platform”</w:t>
      </w:r>
      <w:r>
        <w:rPr>
          <w:rFonts w:ascii="Times New Roman" w:eastAsia="Times New Roman" w:hAnsi="Times New Roman" w:cs="Times New Roman"/>
          <w:sz w:val="24"/>
          <w:szCs w:val="24"/>
          <w:lang w:val="en-GB" w:eastAsia="en-US"/>
        </w:rPr>
        <w:t xml:space="preserve"> and the information regarding the corporate structures of the legal persons and their respective beneficial owners shall be available through both registers besides the information dating back on the legal entities that were re</w:t>
      </w:r>
      <w:r>
        <w:rPr>
          <w:rFonts w:ascii="Times New Roman" w:eastAsia="Times New Roman" w:hAnsi="Times New Roman" w:cs="Times New Roman"/>
          <w:sz w:val="24"/>
          <w:szCs w:val="24"/>
          <w:lang w:val="en-GB" w:eastAsia="en-US"/>
        </w:rPr>
        <w:t xml:space="preserve">moved from the national register for at least five years ago and no more then ten must be provided to the </w:t>
      </w:r>
      <w:r>
        <w:rPr>
          <w:rFonts w:ascii="Times New Roman" w:eastAsia="Times New Roman" w:hAnsi="Times New Roman" w:cs="Times New Roman"/>
          <w:sz w:val="24"/>
          <w:szCs w:val="24"/>
          <w:lang w:eastAsia="en-US"/>
        </w:rPr>
        <w:t>European Central Platform</w:t>
      </w:r>
      <w:r>
        <w:rPr>
          <w:rFonts w:ascii="Times New Roman" w:eastAsia="Times New Roman" w:hAnsi="Times New Roman" w:cs="Times New Roman"/>
          <w:sz w:val="24"/>
          <w:szCs w:val="24"/>
          <w:vertAlign w:val="superscript"/>
          <w:lang w:eastAsia="en-US"/>
        </w:rPr>
        <w:footnoteReference w:id="56"/>
      </w:r>
      <w:r>
        <w:rPr>
          <w:rFonts w:ascii="Times New Roman" w:eastAsia="Times New Roman" w:hAnsi="Times New Roman" w:cs="Times New Roman"/>
          <w:sz w:val="24"/>
          <w:szCs w:val="24"/>
          <w:lang w:val="en-GB" w:eastAsia="en-US"/>
        </w:rPr>
        <w:t>. By such measures the legislator is aiming to collect proportional amount of information but not excessive in order to rese</w:t>
      </w:r>
      <w:r>
        <w:rPr>
          <w:rFonts w:ascii="Times New Roman" w:eastAsia="Times New Roman" w:hAnsi="Times New Roman" w:cs="Times New Roman"/>
          <w:sz w:val="24"/>
          <w:szCs w:val="24"/>
          <w:lang w:val="en-GB" w:eastAsia="en-US"/>
        </w:rPr>
        <w:t>arch the historical data on the legal persons and their beneficial owners, as if, for example, the legal person as an entity was closed due to money laundering activities or was a subject to suspicion of such actions there is a high possibility of repetiti</w:t>
      </w:r>
      <w:r>
        <w:rPr>
          <w:rFonts w:ascii="Times New Roman" w:eastAsia="Times New Roman" w:hAnsi="Times New Roman" w:cs="Times New Roman"/>
          <w:sz w:val="24"/>
          <w:szCs w:val="24"/>
          <w:lang w:val="en-GB" w:eastAsia="en-US"/>
        </w:rPr>
        <w:t>on of an action. As well, as in the process of due diligence investigation it might be necessary to acquire more historical information on the beneficial owner who is a resident of another state from the central platform to make a reasonable decision regar</w:t>
      </w:r>
      <w:r>
        <w:rPr>
          <w:rFonts w:ascii="Times New Roman" w:eastAsia="Times New Roman" w:hAnsi="Times New Roman" w:cs="Times New Roman"/>
          <w:sz w:val="24"/>
          <w:szCs w:val="24"/>
          <w:lang w:val="en-GB" w:eastAsia="en-US"/>
        </w:rPr>
        <w:t xml:space="preserve">ding the customer relationships continuation. </w:t>
      </w:r>
    </w:p>
    <w:p w:rsidR="003540B4" w:rsidRDefault="008C0147">
      <w:pPr>
        <w:rPr>
          <w:rFonts w:ascii="Arial" w:hAnsi="Arial" w:cs="Arial"/>
          <w:color w:val="333333"/>
          <w:sz w:val="12"/>
          <w:szCs w:val="12"/>
          <w:shd w:val="clear" w:color="auto" w:fill="FFFFFF"/>
        </w:rPr>
      </w:pPr>
      <w:r>
        <w:rPr>
          <w:rFonts w:ascii="Arial" w:hAnsi="Arial" w:cs="Arial"/>
          <w:color w:val="333333"/>
          <w:sz w:val="12"/>
          <w:szCs w:val="12"/>
          <w:shd w:val="clear" w:color="auto" w:fill="FFFFFF"/>
        </w:rPr>
        <w:br w:type="page"/>
      </w:r>
    </w:p>
    <w:p w:rsidR="003540B4" w:rsidRDefault="008C0147">
      <w:pPr>
        <w:pStyle w:val="RGSLheading11"/>
        <w:numPr>
          <w:ilvl w:val="0"/>
          <w:numId w:val="5"/>
        </w:numPr>
        <w:spacing w:line="240" w:lineRule="auto"/>
        <w:ind w:left="1287" w:right="709" w:hanging="720"/>
        <w:rPr>
          <w:rFonts w:ascii="Times New Roman" w:eastAsiaTheme="majorEastAsia" w:hAnsi="Times New Roman" w:hint="default"/>
          <w:color w:val="000000" w:themeColor="text1"/>
          <w:lang w:val="en-GB" w:eastAsia="ru-RU"/>
        </w:rPr>
      </w:pPr>
      <w:bookmarkStart w:id="21" w:name="_Toc14481"/>
      <w:r>
        <w:rPr>
          <w:rFonts w:ascii="Times New Roman" w:eastAsiaTheme="majorEastAsia" w:hAnsi="Times New Roman"/>
          <w:color w:val="000000" w:themeColor="text1"/>
          <w:lang w:val="en-GB" w:eastAsia="ru-RU"/>
        </w:rPr>
        <w:t>Latvian</w:t>
      </w:r>
      <w:r>
        <w:rPr>
          <w:rFonts w:ascii="Times New Roman" w:eastAsiaTheme="majorEastAsia" w:hAnsi="Times New Roman" w:hint="default"/>
          <w:color w:val="000000" w:themeColor="text1"/>
          <w:lang w:val="en-GB" w:eastAsia="ru-RU"/>
        </w:rPr>
        <w:t xml:space="preserve"> national</w:t>
      </w:r>
      <w:r>
        <w:rPr>
          <w:rFonts w:ascii="Times New Roman" w:eastAsiaTheme="majorEastAsia" w:hAnsi="Times New Roman"/>
          <w:color w:val="000000" w:themeColor="text1"/>
          <w:lang w:val="en-GB" w:eastAsia="ru-RU"/>
        </w:rPr>
        <w:t xml:space="preserve"> </w:t>
      </w:r>
      <w:r>
        <w:rPr>
          <w:rFonts w:ascii="Times New Roman" w:eastAsiaTheme="majorEastAsia" w:hAnsi="Times New Roman" w:hint="default"/>
          <w:color w:val="000000" w:themeColor="text1"/>
          <w:lang w:val="en-GB" w:eastAsia="ru-RU"/>
        </w:rPr>
        <w:t xml:space="preserve">Anti Money Laundering </w:t>
      </w:r>
      <w:r>
        <w:rPr>
          <w:rFonts w:ascii="Times New Roman" w:eastAsiaTheme="majorEastAsia" w:hAnsi="Times New Roman"/>
          <w:color w:val="000000" w:themeColor="text1"/>
          <w:lang w:val="en-GB" w:eastAsia="ru-RU"/>
        </w:rPr>
        <w:t xml:space="preserve">Legislation </w:t>
      </w:r>
      <w:r>
        <w:rPr>
          <w:rFonts w:ascii="Times New Roman" w:eastAsiaTheme="majorEastAsia" w:hAnsi="Times New Roman" w:hint="default"/>
          <w:color w:val="000000" w:themeColor="text1"/>
          <w:lang w:val="en-GB" w:eastAsia="ru-RU"/>
        </w:rPr>
        <w:t>and the Definition of the term “Beneficial owner” in it</w:t>
      </w:r>
      <w:bookmarkEnd w:id="21"/>
      <w:r>
        <w:rPr>
          <w:rFonts w:ascii="Times New Roman" w:eastAsiaTheme="majorEastAsia" w:hAnsi="Times New Roman" w:hint="default"/>
          <w:color w:val="000000" w:themeColor="text1"/>
          <w:lang w:val="en-GB" w:eastAsia="ru-RU"/>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According to the </w:t>
      </w:r>
      <w:r>
        <w:rPr>
          <w:rFonts w:ascii="Times New Roman" w:eastAsia="Times New Roman" w:hAnsi="Times New Roman" w:cs="Times New Roman"/>
          <w:sz w:val="24"/>
          <w:szCs w:val="24"/>
          <w:lang w:eastAsia="en-US"/>
        </w:rPr>
        <w:t>Anti-money laundering and counter-terrorist financing measures Latvia 1st Enhanced</w:t>
      </w:r>
      <w:r>
        <w:rPr>
          <w:rFonts w:ascii="Times New Roman" w:eastAsia="Times New Roman" w:hAnsi="Times New Roman" w:cs="Times New Roman"/>
          <w:sz w:val="24"/>
          <w:szCs w:val="24"/>
          <w:lang w:eastAsia="en-US"/>
        </w:rPr>
        <w:t xml:space="preserve"> Follow-up Report</w:t>
      </w:r>
      <w:r>
        <w:rPr>
          <w:rFonts w:ascii="Times New Roman" w:eastAsia="Times New Roman" w:hAnsi="Times New Roman" w:cs="Times New Roman"/>
          <w:sz w:val="24"/>
          <w:szCs w:val="24"/>
          <w:lang w:val="en-GB" w:eastAsia="en-US"/>
        </w:rPr>
        <w:t xml:space="preserve"> prepared in</w:t>
      </w:r>
      <w:r>
        <w:rPr>
          <w:rFonts w:ascii="Times New Roman" w:eastAsia="Times New Roman" w:hAnsi="Times New Roman" w:cs="Times New Roman"/>
          <w:sz w:val="24"/>
          <w:szCs w:val="24"/>
          <w:lang w:eastAsia="en-US"/>
        </w:rPr>
        <w:t xml:space="preserve"> December 2019</w:t>
      </w:r>
      <w:r>
        <w:rPr>
          <w:rFonts w:ascii="Times New Roman" w:eastAsia="Times New Roman" w:hAnsi="Times New Roman" w:cs="Times New Roman"/>
          <w:sz w:val="24"/>
          <w:szCs w:val="24"/>
          <w:lang w:val="en-GB" w:eastAsia="en-US"/>
        </w:rPr>
        <w:t xml:space="preserve"> by Moneyval Latvia has made progress in addressing issues previously identified in its Anti money laundering and </w:t>
      </w:r>
      <w:r>
        <w:rPr>
          <w:rFonts w:ascii="Times New Roman" w:eastAsia="Times New Roman" w:hAnsi="Times New Roman" w:cs="Times New Roman"/>
          <w:sz w:val="24"/>
          <w:szCs w:val="24"/>
          <w:lang w:eastAsia="en-US"/>
        </w:rPr>
        <w:t>Countering the financing of terrorism</w:t>
      </w:r>
      <w:r>
        <w:rPr>
          <w:rFonts w:ascii="Times New Roman" w:eastAsia="Times New Roman" w:hAnsi="Times New Roman" w:cs="Times New Roman"/>
          <w:sz w:val="24"/>
          <w:szCs w:val="24"/>
          <w:lang w:val="en-GB" w:eastAsia="en-US"/>
        </w:rPr>
        <w:t xml:space="preserve"> legislation and its following implementation. Moneyval is </w:t>
      </w:r>
    </w:p>
    <w:p w:rsidR="003540B4" w:rsidRDefault="008C0147">
      <w:pPr>
        <w:pStyle w:val="RGSLQuote"/>
        <w:spacing w:line="240" w:lineRule="auto"/>
        <w:jc w:val="both"/>
        <w:rPr>
          <w:rFonts w:ascii="Times New Roman" w:eastAsia="Times New Roman" w:hAnsi="Times New Roman" w:cs="Times New Roman"/>
          <w:szCs w:val="24"/>
          <w:lang w:val="en-GB" w:eastAsia="ru-RU"/>
        </w:rPr>
      </w:pPr>
      <w:r>
        <w:rPr>
          <w:rFonts w:ascii="Times New Roman" w:eastAsia="Times New Roman" w:hAnsi="Times New Roman" w:cs="Times New Roman"/>
          <w:szCs w:val="24"/>
          <w:lang w:eastAsia="ru-RU"/>
        </w:rPr>
        <w:t xml:space="preserve">a </w:t>
      </w:r>
      <w:r>
        <w:rPr>
          <w:rFonts w:ascii="Times New Roman" w:eastAsia="Times New Roman" w:hAnsi="Times New Roman" w:cs="Times New Roman"/>
          <w:szCs w:val="24"/>
          <w:lang w:eastAsia="ru-RU"/>
        </w:rPr>
        <w:t xml:space="preserve">permanent monitoring body of the Council of Europe entrusted with the task of assessing compliance with the principal international standards to counter money laundering and the financing of terrorism and the effectiveness of their implementation, as well </w:t>
      </w:r>
      <w:r>
        <w:rPr>
          <w:rFonts w:ascii="Times New Roman" w:eastAsia="Times New Roman" w:hAnsi="Times New Roman" w:cs="Times New Roman"/>
          <w:szCs w:val="24"/>
          <w:lang w:eastAsia="ru-RU"/>
        </w:rPr>
        <w:t>as with the task of making recommendations to national authorities in respect of necessary improvements to their systems.</w:t>
      </w:r>
      <w:r>
        <w:rPr>
          <w:rFonts w:ascii="Times New Roman" w:eastAsia="Times New Roman" w:hAnsi="Times New Roman" w:cs="Times New Roman"/>
          <w:szCs w:val="24"/>
          <w:vertAlign w:val="superscript"/>
          <w:lang w:eastAsia="ru-RU"/>
        </w:rPr>
        <w:footnoteReference w:id="57"/>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Thus it is body of the Council of Europe which was established to evaluate the national laws and those implementation procedures and </w:t>
      </w:r>
      <w:r>
        <w:rPr>
          <w:rFonts w:ascii="Times New Roman" w:eastAsia="Times New Roman" w:hAnsi="Times New Roman" w:cs="Times New Roman"/>
          <w:sz w:val="24"/>
          <w:szCs w:val="24"/>
          <w:lang w:val="en-GB" w:eastAsia="en-US"/>
        </w:rPr>
        <w:t xml:space="preserve">factual implementation compliance of the European Union states to the common AML legislation. The report( mutual evaluation report) was prepared upon Latvia’s request for </w:t>
      </w:r>
      <w:r>
        <w:rPr>
          <w:rFonts w:ascii="Times New Roman" w:eastAsia="Times New Roman" w:hAnsi="Times New Roman" w:cs="Times New Roman"/>
          <w:sz w:val="24"/>
          <w:szCs w:val="24"/>
          <w:lang w:eastAsia="en-US"/>
        </w:rPr>
        <w:t>for technical compliance re-ratings</w:t>
      </w:r>
      <w:r>
        <w:rPr>
          <w:rFonts w:ascii="Times New Roman" w:eastAsia="Times New Roman" w:hAnsi="Times New Roman" w:cs="Times New Roman"/>
          <w:sz w:val="24"/>
          <w:szCs w:val="24"/>
          <w:lang w:val="en-GB" w:eastAsia="en-US"/>
        </w:rPr>
        <w:t xml:space="preserve"> and was prepared by Moneyval Secreteriat along wi</w:t>
      </w:r>
      <w:r>
        <w:rPr>
          <w:rFonts w:ascii="Times New Roman" w:eastAsia="Times New Roman" w:hAnsi="Times New Roman" w:cs="Times New Roman"/>
          <w:sz w:val="24"/>
          <w:szCs w:val="24"/>
          <w:lang w:val="en-GB" w:eastAsia="en-US"/>
        </w:rPr>
        <w:t xml:space="preserve">th rapporteur teams from Montenegro and Slovenia and </w:t>
      </w:r>
      <w:r>
        <w:rPr>
          <w:rFonts w:ascii="Times New Roman" w:eastAsia="Times New Roman" w:hAnsi="Times New Roman" w:cs="Times New Roman"/>
          <w:sz w:val="24"/>
          <w:szCs w:val="24"/>
          <w:lang w:eastAsia="en-US"/>
        </w:rPr>
        <w:t>was adopted in July 2018</w:t>
      </w:r>
      <w:r>
        <w:rPr>
          <w:rFonts w:ascii="Times New Roman" w:eastAsia="Times New Roman" w:hAnsi="Times New Roman" w:cs="Times New Roman"/>
          <w:sz w:val="24"/>
          <w:szCs w:val="24"/>
          <w:lang w:val="en-GB" w:eastAsia="en-US"/>
        </w:rPr>
        <w:t xml:space="preserve">. It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fr-FR" w:eastAsia="en-US"/>
        </w:rPr>
        <w:t xml:space="preserve">analyses the progress of Latvia in addressing the technical compliance (TC) deficiencies identified in its MER. Reratings are given where sufficient progress has been made. </w:t>
      </w:r>
      <w:r>
        <w:rPr>
          <w:rFonts w:ascii="Times New Roman" w:eastAsia="Times New Roman" w:hAnsi="Times New Roman" w:cs="Times New Roman"/>
          <w:szCs w:val="24"/>
          <w:lang w:val="fr-FR" w:eastAsia="en-US"/>
        </w:rPr>
        <w:t>This report also analyses progress made in implementing new requirements relating to FATF Recommendations which have changed since Latvia’s MER was adopted: Recommendation 2, 18 and 21.</w:t>
      </w:r>
      <w:r>
        <w:rPr>
          <w:rFonts w:ascii="Times New Roman" w:eastAsia="Times New Roman" w:hAnsi="Times New Roman" w:cs="Times New Roman"/>
          <w:szCs w:val="24"/>
          <w:vertAlign w:val="superscript"/>
          <w:lang w:val="fr-FR" w:eastAsia="en-US"/>
        </w:rPr>
        <w:footnoteReference w:id="58"/>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In this citation “MER” means mutual evaluation report. </w:t>
      </w:r>
    </w:p>
    <w:p w:rsidR="003540B4" w:rsidRDefault="008C0147">
      <w:pPr>
        <w:pStyle w:val="RGSLBodywithindentation"/>
      </w:pPr>
      <w:r>
        <w:rPr>
          <w:lang w:val="en-GB"/>
        </w:rPr>
        <w:t>Yet it should</w:t>
      </w:r>
      <w:r>
        <w:rPr>
          <w:lang w:val="en-GB"/>
        </w:rPr>
        <w:t xml:space="preserve"> be mentioned that the identified report does not address the states effectiveness, which will be asses in a later follow-up, which is expected to take place </w:t>
      </w:r>
      <w:r>
        <w:t>at the first Plenary meeting of 2021</w:t>
      </w:r>
      <w:r>
        <w:rPr>
          <w:lang w:val="en-GB"/>
        </w:rPr>
        <w:t xml:space="preserve"> and no report or data form that is available yet</w:t>
      </w:r>
      <w:r>
        <w:t>.</w:t>
      </w:r>
    </w:p>
    <w:p w:rsidR="003540B4" w:rsidRDefault="008C0147">
      <w:pPr>
        <w:pStyle w:val="RGSLBodywithindentation"/>
        <w:rPr>
          <w:lang w:val="en-GB"/>
        </w:rPr>
      </w:pPr>
      <w:r>
        <w:rPr>
          <w:lang w:val="en-GB"/>
        </w:rPr>
        <w:t>Regarding t</w:t>
      </w:r>
      <w:r>
        <w:rPr>
          <w:lang w:val="en-GB"/>
        </w:rPr>
        <w:t xml:space="preserve">he beneficial owner definition in the report section regarding </w:t>
      </w:r>
      <w:r>
        <w:t>Recommendation 10</w:t>
      </w:r>
      <w:r>
        <w:rPr>
          <w:lang w:val="en-GB"/>
        </w:rPr>
        <w:t xml:space="preserve">, which has been previously made to Latvia and prior was identified as partially compliant in the mentioned follow-up report was </w:t>
      </w:r>
      <w:r>
        <w:t xml:space="preserve">re-rated as </w:t>
      </w:r>
      <w:r>
        <w:rPr>
          <w:lang w:val="en-GB"/>
        </w:rPr>
        <w:t>largely compliant point 31 it is st</w:t>
      </w:r>
      <w:r>
        <w:rPr>
          <w:lang w:val="en-GB"/>
        </w:rPr>
        <w:t xml:space="preserve">ated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fr-FR" w:eastAsia="en-US"/>
        </w:rPr>
        <w:t>The amended definition of the BO provided under Section 1(4) of the AML/CFT Law extends to the trustee and protector of legal arrangements.</w:t>
      </w:r>
      <w:r>
        <w:rPr>
          <w:rFonts w:ascii="Times New Roman" w:eastAsia="Times New Roman" w:hAnsi="Times New Roman" w:cs="Times New Roman"/>
          <w:szCs w:val="24"/>
          <w:vertAlign w:val="superscript"/>
          <w:lang w:val="fr-FR" w:eastAsia="en-US"/>
        </w:rPr>
        <w:footnoteReference w:id="59"/>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It should be thus mentioned that there has been probably made a typing mistake in the report, as section 1 su</w:t>
      </w:r>
      <w:r>
        <w:rPr>
          <w:rFonts w:ascii="Times New Roman" w:eastAsia="Times New Roman" w:hAnsi="Times New Roman" w:cs="Times New Roman"/>
          <w:sz w:val="24"/>
          <w:szCs w:val="24"/>
          <w:lang w:val="en-GB" w:eastAsia="en-US"/>
        </w:rPr>
        <w:t>b-section 5 of the AML law of Latvia is the one defining the beneficial owner within the scope of the respective legal norm and in report identified amendments were made to part b of the previously mentioned section as it will be shown followingly. As well</w:t>
      </w:r>
      <w:r>
        <w:rPr>
          <w:rFonts w:ascii="Times New Roman" w:eastAsia="Times New Roman" w:hAnsi="Times New Roman" w:cs="Times New Roman"/>
          <w:sz w:val="24"/>
          <w:szCs w:val="24"/>
          <w:lang w:val="en-GB" w:eastAsia="en-US"/>
        </w:rPr>
        <w:t xml:space="preserve"> as following comments regarding the beneficial owner were made in section on  </w:t>
      </w:r>
      <w:r>
        <w:rPr>
          <w:rFonts w:ascii="Times New Roman" w:eastAsia="Times New Roman" w:hAnsi="Times New Roman" w:cs="Times New Roman"/>
          <w:sz w:val="24"/>
          <w:szCs w:val="24"/>
          <w:lang w:eastAsia="en-US"/>
        </w:rPr>
        <w:t>Recommendation</w:t>
      </w:r>
      <w:r>
        <w:rPr>
          <w:rFonts w:ascii="Times New Roman" w:eastAsia="Times New Roman" w:hAnsi="Times New Roman" w:cs="Times New Roman"/>
          <w:sz w:val="24"/>
          <w:szCs w:val="24"/>
          <w:lang w:val="en-GB" w:eastAsia="en-US"/>
        </w:rPr>
        <w:t xml:space="preserve"> number</w:t>
      </w:r>
      <w:r>
        <w:rPr>
          <w:rFonts w:ascii="Times New Roman" w:eastAsia="Times New Roman" w:hAnsi="Times New Roman" w:cs="Times New Roman"/>
          <w:sz w:val="24"/>
          <w:szCs w:val="24"/>
          <w:lang w:eastAsia="en-US"/>
        </w:rPr>
        <w:t xml:space="preserve"> 28</w:t>
      </w:r>
      <w:r>
        <w:rPr>
          <w:rFonts w:ascii="Times New Roman" w:eastAsia="Times New Roman" w:hAnsi="Times New Roman" w:cs="Times New Roman"/>
          <w:sz w:val="24"/>
          <w:szCs w:val="24"/>
          <w:lang w:val="en-GB" w:eastAsia="en-US"/>
        </w:rPr>
        <w:t xml:space="preserve"> of the prior report, which as well has been previously identified as partially compliant and </w:t>
      </w:r>
      <w:r>
        <w:rPr>
          <w:rFonts w:ascii="Times New Roman" w:eastAsia="Times New Roman" w:hAnsi="Times New Roman" w:cs="Times New Roman"/>
          <w:sz w:val="24"/>
          <w:szCs w:val="24"/>
          <w:lang w:eastAsia="en-US"/>
        </w:rPr>
        <w:t xml:space="preserve">re-rated as </w:t>
      </w:r>
      <w:r>
        <w:rPr>
          <w:rFonts w:ascii="Times New Roman" w:eastAsia="Times New Roman" w:hAnsi="Times New Roman" w:cs="Times New Roman"/>
          <w:sz w:val="24"/>
          <w:szCs w:val="24"/>
          <w:lang w:val="en-GB" w:eastAsia="en-US"/>
        </w:rPr>
        <w:t>largely compliant</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fr-FR" w:eastAsia="en-US"/>
        </w:rPr>
        <w:t>The new requirement under S</w:t>
      </w:r>
      <w:r>
        <w:rPr>
          <w:rFonts w:ascii="Times New Roman" w:eastAsia="Times New Roman" w:hAnsi="Times New Roman" w:cs="Times New Roman"/>
          <w:szCs w:val="24"/>
          <w:lang w:val="fr-FR" w:eastAsia="en-US"/>
        </w:rPr>
        <w:t>ection 101 of the AML/CFT Law prevents criminals from being members of the senior management or the compliance officer of the obliged entity. However, this requirement does not include associates of persons with criminal records. Shortcomings relating to t</w:t>
      </w:r>
      <w:r>
        <w:rPr>
          <w:rFonts w:ascii="Times New Roman" w:eastAsia="Times New Roman" w:hAnsi="Times New Roman" w:cs="Times New Roman"/>
          <w:szCs w:val="24"/>
          <w:lang w:val="fr-FR" w:eastAsia="en-US"/>
        </w:rPr>
        <w:t>he persons holding (or being the BO of) a significant or controlling interest also remain.</w:t>
      </w:r>
      <w:r>
        <w:rPr>
          <w:rFonts w:ascii="Times New Roman" w:eastAsia="Times New Roman" w:hAnsi="Times New Roman" w:cs="Times New Roman"/>
          <w:szCs w:val="24"/>
          <w:vertAlign w:val="superscript"/>
          <w:lang w:val="fr-FR" w:eastAsia="en-US"/>
        </w:rPr>
        <w:footnoteReference w:id="60"/>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This statement shall be indeed evaluated as the existing shortcoming or drawback of the Latvian national laws as it may indeed have severe consequences.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Overall, L</w:t>
      </w:r>
      <w:r>
        <w:rPr>
          <w:rFonts w:ascii="Times New Roman" w:eastAsia="Times New Roman" w:hAnsi="Times New Roman" w:cs="Times New Roman"/>
          <w:sz w:val="24"/>
          <w:szCs w:val="24"/>
          <w:lang w:val="en-GB" w:eastAsia="en-US"/>
        </w:rPr>
        <w:t>atvia's progress as it was previously identified in the Anti Money Laundering legislation in the aspects of technical compliance has been positive. As well, as the changes to the beneficial owner definition have played its role in increase of compliance an</w:t>
      </w:r>
      <w:r>
        <w:rPr>
          <w:rFonts w:ascii="Times New Roman" w:eastAsia="Times New Roman" w:hAnsi="Times New Roman" w:cs="Times New Roman"/>
          <w:sz w:val="24"/>
          <w:szCs w:val="24"/>
          <w:lang w:val="en-GB" w:eastAsia="en-US"/>
        </w:rPr>
        <w:t xml:space="preserve">d will be followingly researched.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22" w:name="_Toc16711"/>
      <w:r>
        <w:rPr>
          <w:rFonts w:ascii="Times New Roman" w:eastAsiaTheme="majorEastAsia" w:hAnsi="Times New Roman" w:hint="default"/>
          <w:color w:val="000000" w:themeColor="text1"/>
          <w:lang w:val="lv-LV" w:eastAsia="ru-RU"/>
        </w:rPr>
        <w:t>3.1.</w:t>
      </w:r>
      <w:r>
        <w:rPr>
          <w:rFonts w:ascii="Times New Roman" w:eastAsiaTheme="majorEastAsia" w:hAnsi="Times New Roman" w:hint="default"/>
          <w:color w:val="000000" w:themeColor="text1"/>
          <w:lang w:val="en-GB" w:eastAsia="ru-RU"/>
        </w:rPr>
        <w:t xml:space="preserve">Definition of the </w:t>
      </w:r>
      <w:r>
        <w:rPr>
          <w:rFonts w:ascii="Times New Roman" w:eastAsiaTheme="majorEastAsia" w:hAnsi="Times New Roman"/>
          <w:color w:val="000000" w:themeColor="text1"/>
          <w:lang w:val="en-GB" w:eastAsia="ru-RU"/>
        </w:rPr>
        <w:t xml:space="preserve">Term </w:t>
      </w:r>
      <w:r>
        <w:rPr>
          <w:rFonts w:ascii="Times New Roman" w:eastAsiaTheme="majorEastAsia" w:hAnsi="Times New Roman"/>
          <w:color w:val="000000" w:themeColor="text1"/>
          <w:lang w:val="en-GB" w:eastAsia="ru-RU"/>
        </w:rPr>
        <w:t>“</w:t>
      </w:r>
      <w:r>
        <w:rPr>
          <w:rFonts w:ascii="Times New Roman" w:eastAsiaTheme="majorEastAsia" w:hAnsi="Times New Roman"/>
          <w:color w:val="000000" w:themeColor="text1"/>
          <w:lang w:val="en-GB" w:eastAsia="ru-RU"/>
        </w:rPr>
        <w:t>Beneficial Owner</w:t>
      </w:r>
      <w:r>
        <w:rPr>
          <w:rFonts w:ascii="Times New Roman" w:eastAsiaTheme="majorEastAsia" w:hAnsi="Times New Roman"/>
          <w:color w:val="000000" w:themeColor="text1"/>
          <w:lang w:val="en-GB" w:eastAsia="ru-RU"/>
        </w:rPr>
        <w:t>”</w:t>
      </w:r>
      <w:r>
        <w:rPr>
          <w:rFonts w:ascii="Times New Roman" w:eastAsiaTheme="majorEastAsia" w:hAnsi="Times New Roman"/>
          <w:color w:val="000000" w:themeColor="text1"/>
          <w:lang w:val="en-GB" w:eastAsia="ru-RU"/>
        </w:rPr>
        <w:t xml:space="preserve"> in Latvian national legislation</w:t>
      </w:r>
      <w:bookmarkEnd w:id="22"/>
    </w:p>
    <w:p w:rsidR="003540B4" w:rsidRDefault="008C0147">
      <w:pPr>
        <w:pStyle w:val="RGSLNormal"/>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 xml:space="preserve">In Latvian national legislation the term beneficial owner within the scope of anti money laundering legislation is defined in </w:t>
      </w:r>
      <w:r>
        <w:rPr>
          <w:rFonts w:ascii="Times New Roman" w:eastAsia="Times New Roman" w:hAnsi="Times New Roman" w:cs="Times New Roman"/>
          <w:sz w:val="24"/>
          <w:szCs w:val="24"/>
          <w:lang w:val="lv-LV" w:eastAsia="en-US"/>
        </w:rPr>
        <w:t xml:space="preserve">Law on the </w:t>
      </w:r>
      <w:r>
        <w:rPr>
          <w:rFonts w:ascii="Times New Roman" w:eastAsia="Times New Roman" w:hAnsi="Times New Roman" w:cs="Times New Roman"/>
          <w:sz w:val="24"/>
          <w:szCs w:val="24"/>
          <w:lang w:val="lv-LV" w:eastAsia="en-US"/>
        </w:rPr>
        <w:t>Prevention of</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Money</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Laundering and Terrorism and Proliferation Financing</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Which has been adopted on 17</w:t>
      </w:r>
      <w:r>
        <w:rPr>
          <w:rFonts w:ascii="Times New Roman" w:eastAsia="Times New Roman" w:hAnsi="Times New Roman" w:cs="Times New Roman"/>
          <w:sz w:val="24"/>
          <w:szCs w:val="24"/>
          <w:lang w:val="en-GB" w:eastAsia="en-US"/>
        </w:rPr>
        <w:t xml:space="preserve">th of July </w:t>
      </w:r>
      <w:r>
        <w:rPr>
          <w:rFonts w:ascii="Times New Roman" w:eastAsia="Times New Roman" w:hAnsi="Times New Roman" w:cs="Times New Roman"/>
          <w:sz w:val="24"/>
          <w:szCs w:val="24"/>
          <w:lang w:val="lv-LV" w:eastAsia="en-US"/>
        </w:rPr>
        <w:t>2008 and entered into force on 13</w:t>
      </w:r>
      <w:r>
        <w:rPr>
          <w:rFonts w:ascii="Times New Roman" w:eastAsia="Times New Roman" w:hAnsi="Times New Roman" w:cs="Times New Roman"/>
          <w:sz w:val="24"/>
          <w:szCs w:val="24"/>
          <w:lang w:val="en-GB" w:eastAsia="en-US"/>
        </w:rPr>
        <w:t>th of August 2</w:t>
      </w:r>
      <w:r>
        <w:rPr>
          <w:rFonts w:ascii="Times New Roman" w:eastAsia="Times New Roman" w:hAnsi="Times New Roman" w:cs="Times New Roman"/>
          <w:sz w:val="24"/>
          <w:szCs w:val="24"/>
          <w:lang w:val="lv-LV" w:eastAsia="en-US"/>
        </w:rPr>
        <w:t>008.</w:t>
      </w:r>
    </w:p>
    <w:p w:rsidR="003540B4" w:rsidRDefault="008C0147">
      <w:pPr>
        <w:pStyle w:val="RGSLNormalwithindentation"/>
        <w:ind w:firstLine="0"/>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val="en-GB" w:eastAsia="en-US"/>
        </w:rPr>
        <w:t xml:space="preserve">The term is defined </w:t>
      </w:r>
      <w:r>
        <w:rPr>
          <w:rFonts w:ascii="Times New Roman" w:eastAsia="Times New Roman" w:hAnsi="Times New Roman" w:cs="Times New Roman"/>
          <w:sz w:val="24"/>
          <w:szCs w:val="24"/>
          <w:lang w:val="lv-LV" w:eastAsia="en-US"/>
        </w:rPr>
        <w:t xml:space="preserve">in Section 1 </w:t>
      </w:r>
      <w:r>
        <w:rPr>
          <w:rFonts w:ascii="Times New Roman" w:eastAsia="Times New Roman" w:hAnsi="Times New Roman" w:cs="Times New Roman"/>
          <w:sz w:val="24"/>
          <w:szCs w:val="24"/>
          <w:lang w:val="en-GB" w:eastAsia="en-US"/>
        </w:rPr>
        <w:t xml:space="preserve">clause </w:t>
      </w:r>
      <w:r>
        <w:rPr>
          <w:rFonts w:ascii="Times New Roman" w:eastAsia="Times New Roman" w:hAnsi="Times New Roman" w:cs="Times New Roman"/>
          <w:sz w:val="24"/>
          <w:szCs w:val="24"/>
          <w:lang w:val="lv-LV" w:eastAsia="en-US"/>
        </w:rPr>
        <w:t>5</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in the following way</w:t>
      </w:r>
      <w:r>
        <w:rPr>
          <w:rFonts w:ascii="Times New Roman" w:eastAsia="Times New Roman" w:hAnsi="Times New Roman" w:cs="Times New Roman"/>
          <w:sz w:val="24"/>
          <w:szCs w:val="24"/>
          <w:lang w:val="lv-LV"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eastAsia="en-US"/>
        </w:rPr>
      </w:pPr>
      <w:r>
        <w:rPr>
          <w:rFonts w:ascii="Times New Roman" w:eastAsia="Times New Roman" w:hAnsi="Times New Roman" w:cs="Times New Roman"/>
          <w:szCs w:val="24"/>
          <w:lang w:eastAsia="en-US"/>
        </w:rPr>
        <w:t xml:space="preserve">a natural person who is </w:t>
      </w:r>
      <w:r>
        <w:rPr>
          <w:rFonts w:ascii="Times New Roman" w:eastAsia="Times New Roman" w:hAnsi="Times New Roman" w:cs="Times New Roman"/>
          <w:szCs w:val="24"/>
          <w:lang w:eastAsia="en-US"/>
        </w:rPr>
        <w:t>the owner of the customer - legal person - or who controls the customer, or on whose behalf, for whose benefit or in whose interests business relationship is being established or an individual transaction is being executed, and it is at least:</w:t>
      </w:r>
    </w:p>
    <w:p w:rsidR="003540B4" w:rsidRDefault="008C0147">
      <w:pPr>
        <w:pStyle w:val="RGSLQuote"/>
        <w:spacing w:line="240" w:lineRule="auto"/>
        <w:jc w:val="both"/>
        <w:rPr>
          <w:rFonts w:ascii="Times New Roman" w:eastAsia="Times New Roman" w:hAnsi="Times New Roman" w:cs="Times New Roman"/>
          <w:szCs w:val="24"/>
          <w:lang w:eastAsia="en-US"/>
        </w:rPr>
      </w:pPr>
      <w:r>
        <w:rPr>
          <w:rFonts w:ascii="Times New Roman" w:eastAsia="Times New Roman" w:hAnsi="Times New Roman" w:cs="Times New Roman"/>
          <w:szCs w:val="24"/>
          <w:lang w:eastAsia="en-US"/>
        </w:rPr>
        <w:t>a) regarding</w:t>
      </w:r>
      <w:r>
        <w:rPr>
          <w:rFonts w:ascii="Times New Roman" w:eastAsia="Times New Roman" w:hAnsi="Times New Roman" w:cs="Times New Roman"/>
          <w:szCs w:val="24"/>
          <w:lang w:eastAsia="en-US"/>
        </w:rPr>
        <w:t xml:space="preserve"> legal persons - a natural person who owns, in the form of direct or indirect shareholding, more than 25 per cent of the capital shares or voting stock of the legal person or who directly or indirectly controls it;</w:t>
      </w:r>
    </w:p>
    <w:p w:rsidR="003540B4" w:rsidRDefault="008C0147">
      <w:pPr>
        <w:pStyle w:val="RGSLQuote"/>
        <w:spacing w:line="240" w:lineRule="auto"/>
        <w:jc w:val="both"/>
        <w:rPr>
          <w:rFonts w:ascii="Times New Roman" w:eastAsia="Times New Roman" w:hAnsi="Times New Roman" w:cs="Times New Roman"/>
          <w:szCs w:val="24"/>
          <w:lang w:val="lv-LV" w:eastAsia="en-US"/>
        </w:rPr>
      </w:pPr>
      <w:r>
        <w:rPr>
          <w:rFonts w:ascii="Times New Roman" w:eastAsia="Times New Roman" w:hAnsi="Times New Roman" w:cs="Times New Roman"/>
          <w:szCs w:val="24"/>
          <w:lang w:eastAsia="en-US"/>
        </w:rPr>
        <w:t>b) regarding legal arrangements - a natur</w:t>
      </w:r>
      <w:r>
        <w:rPr>
          <w:rFonts w:ascii="Times New Roman" w:eastAsia="Times New Roman" w:hAnsi="Times New Roman" w:cs="Times New Roman"/>
          <w:szCs w:val="24"/>
          <w:lang w:eastAsia="en-US"/>
        </w:rPr>
        <w:t>al person who owns or in whose interests a legal arrangement has been established or operates, or who directly or indirectly exercises control over it, including who is the settlor, the trustee or the protector (manager) of such legal arrangement;</w:t>
      </w:r>
      <w:r>
        <w:rPr>
          <w:rFonts w:ascii="Times New Roman" w:eastAsia="Times New Roman" w:hAnsi="Times New Roman" w:cs="Times New Roman"/>
          <w:szCs w:val="24"/>
          <w:vertAlign w:val="superscript"/>
          <w:lang w:val="fr-FR" w:eastAsia="en-US"/>
        </w:rPr>
        <w:footnoteReference w:id="61"/>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For the</w:t>
      </w:r>
      <w:r>
        <w:rPr>
          <w:rFonts w:ascii="Times New Roman" w:eastAsia="Times New Roman" w:hAnsi="Times New Roman" w:cs="Times New Roman"/>
          <w:sz w:val="24"/>
          <w:szCs w:val="24"/>
          <w:lang w:val="en-GB" w:eastAsia="en-US"/>
        </w:rPr>
        <w:t xml:space="preserve"> purpose of following research the term customer means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fr-FR" w:eastAsia="en-US"/>
        </w:rPr>
        <w:t>a legal or natural person or a legal arrangement, or an association of such persons, or an association of arrangements to whom the subject of the Law provides services or sells goods;</w:t>
      </w:r>
      <w:r>
        <w:rPr>
          <w:rFonts w:ascii="Times New Roman" w:eastAsia="Times New Roman" w:hAnsi="Times New Roman" w:cs="Times New Roman"/>
          <w:szCs w:val="24"/>
          <w:vertAlign w:val="superscript"/>
          <w:lang w:val="fr-FR" w:eastAsia="en-US"/>
        </w:rPr>
        <w:footnoteReference w:id="62"/>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The definition </w:t>
      </w:r>
      <w:r>
        <w:rPr>
          <w:rFonts w:ascii="Times New Roman" w:eastAsia="Times New Roman" w:hAnsi="Times New Roman" w:cs="Times New Roman"/>
          <w:sz w:val="24"/>
          <w:szCs w:val="24"/>
          <w:lang w:val="en-GB" w:eastAsia="en-US"/>
        </w:rPr>
        <w:t xml:space="preserve">for this term is as well provided in the </w:t>
      </w:r>
      <w:r>
        <w:rPr>
          <w:rFonts w:ascii="Times New Roman" w:eastAsia="Times New Roman" w:hAnsi="Times New Roman" w:cs="Times New Roman"/>
          <w:sz w:val="24"/>
          <w:szCs w:val="24"/>
          <w:lang w:val="lv-LV" w:eastAsia="en-US"/>
        </w:rPr>
        <w:t>Law on the Prevention of</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Money</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Laundering and Terrorism and Proliferation Financing</w:t>
      </w:r>
      <w:r>
        <w:rPr>
          <w:rFonts w:ascii="Times New Roman" w:eastAsia="Times New Roman" w:hAnsi="Times New Roman" w:cs="Times New Roman"/>
          <w:sz w:val="24"/>
          <w:szCs w:val="24"/>
          <w:lang w:val="en-GB" w:eastAsia="en-US"/>
        </w:rPr>
        <w:t xml:space="preserve"> section 1 subsection 5.</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By providing such definition of the beneficial owner the legislator identifies the beneficial owner within the scope of money laundering legislation as such person in whose benefit or interest such establishment is operating or has concluded a single opera</w:t>
      </w:r>
      <w:r>
        <w:rPr>
          <w:rFonts w:ascii="Times New Roman" w:eastAsia="Times New Roman" w:hAnsi="Times New Roman" w:cs="Times New Roman"/>
          <w:sz w:val="24"/>
          <w:szCs w:val="24"/>
          <w:lang w:val="en-GB" w:eastAsia="en-US"/>
        </w:rPr>
        <w:t>tion or transaction or is a lawful owner or the establishment as such. Following on, there are differentiated two types of organisations or forms of business and within every of them a specification regarding what person will be considered the beneficial o</w:t>
      </w:r>
      <w:r>
        <w:rPr>
          <w:rFonts w:ascii="Times New Roman" w:eastAsia="Times New Roman" w:hAnsi="Times New Roman" w:cs="Times New Roman"/>
          <w:sz w:val="24"/>
          <w:szCs w:val="24"/>
          <w:lang w:val="en-GB" w:eastAsia="en-US"/>
        </w:rPr>
        <w:t>wner within the scope of such definition is identified. For the legal persons the main characteristic of the beneficial owner are shareholding or control. For the legal arrangements it is ownership, interest or control. With both specifications being compl</w:t>
      </w:r>
      <w:r>
        <w:rPr>
          <w:rFonts w:ascii="Times New Roman" w:eastAsia="Times New Roman" w:hAnsi="Times New Roman" w:cs="Times New Roman"/>
          <w:sz w:val="24"/>
          <w:szCs w:val="24"/>
          <w:lang w:val="en-GB" w:eastAsia="en-US"/>
        </w:rPr>
        <w:t xml:space="preserve">ementary, yet those have to be viewed and interpreted along with the initial definition without being taken out of the context.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According to </w:t>
      </w:r>
      <w:r>
        <w:rPr>
          <w:rFonts w:ascii="Times New Roman" w:eastAsia="Times New Roman" w:hAnsi="Times New Roman" w:cs="Times New Roman"/>
          <w:sz w:val="24"/>
          <w:szCs w:val="24"/>
          <w:lang w:val="lv-LV" w:eastAsia="en-US"/>
        </w:rPr>
        <w:t xml:space="preserve">Finance and Capital Market Commission ( FCMC)( </w:t>
      </w:r>
      <w:r>
        <w:rPr>
          <w:rFonts w:ascii="Times New Roman" w:eastAsia="Times New Roman" w:hAnsi="Times New Roman" w:cs="Times New Roman"/>
          <w:sz w:val="24"/>
          <w:szCs w:val="24"/>
          <w:lang w:val="en-GB" w:eastAsia="en-US"/>
        </w:rPr>
        <w:t>Finan</w:t>
      </w:r>
      <w:r>
        <w:rPr>
          <w:rFonts w:ascii="Times New Roman" w:eastAsia="Times New Roman" w:hAnsi="Times New Roman" w:cs="Times New Roman"/>
          <w:sz w:val="24"/>
          <w:szCs w:val="24"/>
          <w:lang w:val="lv-LV" w:eastAsia="en-US"/>
        </w:rPr>
        <w:t>šu un Kapitāla Tirgus Komisija ( FKTK) in Latvian)</w:t>
      </w:r>
      <w:r>
        <w:rPr>
          <w:rFonts w:ascii="Times New Roman" w:eastAsia="Times New Roman" w:hAnsi="Times New Roman" w:cs="Times New Roman"/>
          <w:sz w:val="24"/>
          <w:szCs w:val="24"/>
          <w:lang w:val="en-GB" w:eastAsia="en-US"/>
        </w:rPr>
        <w:t xml:space="preserve"> referencin</w:t>
      </w:r>
      <w:r>
        <w:rPr>
          <w:rFonts w:ascii="Times New Roman" w:eastAsia="Times New Roman" w:hAnsi="Times New Roman" w:cs="Times New Roman"/>
          <w:sz w:val="24"/>
          <w:szCs w:val="24"/>
          <w:lang w:val="en-GB" w:eastAsia="en-US"/>
        </w:rPr>
        <w:t>g to the Register of Enterprises</w:t>
      </w:r>
      <w:r>
        <w:rPr>
          <w:rFonts w:ascii="Times New Roman" w:eastAsia="Times New Roman" w:hAnsi="Times New Roman" w:cs="Times New Roman"/>
          <w:sz w:val="24"/>
          <w:szCs w:val="24"/>
          <w:lang w:val="lv-LV" w:eastAsia="en-US"/>
        </w:rPr>
        <w:t xml:space="preserve"> the legal norm does not contain “ special regulation regarding the specified obligations depending on from the nature, type or purposes of the activity of the legal person</w:t>
      </w:r>
      <w:r>
        <w:rPr>
          <w:rFonts w:ascii="Times New Roman" w:eastAsia="Times New Roman" w:hAnsi="Times New Roman" w:cs="Times New Roman"/>
          <w:sz w:val="24"/>
          <w:szCs w:val="24"/>
          <w:vertAlign w:val="superscript"/>
          <w:lang w:val="lv-LV" w:eastAsia="en-US"/>
        </w:rPr>
        <w:footnoteReference w:id="63"/>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 xml:space="preserve">There are a few ( two ) systems in force in the </w:t>
      </w:r>
      <w:r>
        <w:rPr>
          <w:rFonts w:ascii="Times New Roman" w:eastAsia="Times New Roman" w:hAnsi="Times New Roman" w:cs="Times New Roman"/>
          <w:sz w:val="24"/>
          <w:szCs w:val="24"/>
          <w:lang w:val="en-GB" w:eastAsia="en-US"/>
        </w:rPr>
        <w:t xml:space="preserve">European Union which classify </w:t>
      </w:r>
      <w:r>
        <w:rPr>
          <w:rFonts w:ascii="Times New Roman" w:eastAsia="Times New Roman" w:hAnsi="Times New Roman" w:cs="Times New Roman"/>
          <w:sz w:val="24"/>
          <w:szCs w:val="24"/>
          <w:lang w:val="lv-LV" w:eastAsia="en-US"/>
        </w:rPr>
        <w:t>institutional units and economic sectors</w:t>
      </w:r>
      <w:r>
        <w:rPr>
          <w:rFonts w:ascii="Times New Roman" w:eastAsia="Times New Roman" w:hAnsi="Times New Roman" w:cs="Times New Roman"/>
          <w:sz w:val="24"/>
          <w:szCs w:val="24"/>
          <w:lang w:val="en-GB" w:eastAsia="en-US"/>
        </w:rPr>
        <w:t xml:space="preserve">, which are common to the EU states in order to simplify the process of comparing statistical reviews of the states. Those are- </w:t>
      </w:r>
      <w:r>
        <w:rPr>
          <w:rFonts w:ascii="Times New Roman" w:eastAsia="Times New Roman" w:hAnsi="Times New Roman" w:cs="Times New Roman"/>
          <w:sz w:val="24"/>
          <w:szCs w:val="24"/>
          <w:lang w:val="lv-LV" w:eastAsia="en-US"/>
        </w:rPr>
        <w:t xml:space="preserve"> the European System of Accounts 1995 (ESA 95) and the EU </w:t>
      </w:r>
      <w:r>
        <w:rPr>
          <w:rFonts w:ascii="Times New Roman" w:eastAsia="Times New Roman" w:hAnsi="Times New Roman" w:cs="Times New Roman"/>
          <w:sz w:val="24"/>
          <w:szCs w:val="24"/>
          <w:lang w:val="lv-LV" w:eastAsia="en-US"/>
        </w:rPr>
        <w:t>Statistical Classification of Economic Activities (NACE)</w:t>
      </w:r>
      <w:r>
        <w:rPr>
          <w:rFonts w:ascii="Times New Roman" w:eastAsia="Times New Roman" w:hAnsi="Times New Roman" w:cs="Times New Roman"/>
          <w:sz w:val="24"/>
          <w:szCs w:val="24"/>
          <w:lang w:val="en-GB" w:eastAsia="en-US"/>
        </w:rPr>
        <w:t>. According to these systems legal persons and arrangements are classified on the basis of their business activity, for example under NACE 2 classification agriculture, forestry and fishing are access</w:t>
      </w:r>
      <w:r>
        <w:rPr>
          <w:rFonts w:ascii="Times New Roman" w:eastAsia="Times New Roman" w:hAnsi="Times New Roman" w:cs="Times New Roman"/>
          <w:sz w:val="24"/>
          <w:szCs w:val="24"/>
          <w:lang w:val="en-GB" w:eastAsia="en-US"/>
        </w:rPr>
        <w:t>ed codes: 01- Crop and animal production, hunting and related service activities, 02- Forestry and logging, 03- Fishing and aquaculture</w:t>
      </w:r>
      <w:r>
        <w:rPr>
          <w:rFonts w:ascii="Times New Roman" w:eastAsia="Times New Roman" w:hAnsi="Times New Roman" w:cs="Times New Roman"/>
          <w:sz w:val="24"/>
          <w:szCs w:val="24"/>
          <w:vertAlign w:val="superscript"/>
          <w:lang w:val="en-GB" w:eastAsia="en-US"/>
        </w:rPr>
        <w:footnoteReference w:id="64"/>
      </w:r>
      <w:r>
        <w:rPr>
          <w:rFonts w:ascii="Times New Roman" w:eastAsia="Times New Roman" w:hAnsi="Times New Roman" w:cs="Times New Roman"/>
          <w:sz w:val="24"/>
          <w:szCs w:val="24"/>
          <w:lang w:val="en-GB" w:eastAsia="en-US"/>
        </w:rPr>
        <w:t>. By interpreting such statement one can come to a conclusion that the nature of business activity is not an important a</w:t>
      </w:r>
      <w:r>
        <w:rPr>
          <w:rFonts w:ascii="Times New Roman" w:eastAsia="Times New Roman" w:hAnsi="Times New Roman" w:cs="Times New Roman"/>
          <w:sz w:val="24"/>
          <w:szCs w:val="24"/>
          <w:lang w:val="en-GB" w:eastAsia="en-US"/>
        </w:rPr>
        <w:t>spect when defining the beneficial owner, presuming that money laundering may take place by different ways and means independent on the nature of the main field of operation of the legal person or arrangement. As well, as it identifies that no legal person</w:t>
      </w:r>
      <w:r>
        <w:rPr>
          <w:rFonts w:ascii="Times New Roman" w:eastAsia="Times New Roman" w:hAnsi="Times New Roman" w:cs="Times New Roman"/>
          <w:sz w:val="24"/>
          <w:szCs w:val="24"/>
          <w:lang w:val="en-GB" w:eastAsia="en-US"/>
        </w:rPr>
        <w:t xml:space="preserve"> or arrangement may stay without the beneficial owner or is free of obligation to registering such in the common Enterprise Registry database, although law prescribes certain exceptions, which will be followingly identified.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As well</w:t>
      </w:r>
      <w:r>
        <w:rPr>
          <w:rFonts w:ascii="Times New Roman" w:eastAsia="Times New Roman" w:hAnsi="Times New Roman" w:cs="Times New Roman"/>
          <w:sz w:val="24"/>
          <w:szCs w:val="24"/>
          <w:lang w:val="en-GB" w:eastAsia="en-US"/>
        </w:rPr>
        <w:t xml:space="preserve"> in</w:t>
      </w:r>
      <w:r>
        <w:rPr>
          <w:rFonts w:ascii="Times New Roman" w:eastAsia="Times New Roman" w:hAnsi="Times New Roman" w:cs="Times New Roman"/>
          <w:sz w:val="24"/>
          <w:szCs w:val="24"/>
          <w:lang w:val="lv-LV" w:eastAsia="en-US"/>
        </w:rPr>
        <w:t xml:space="preserve"> the same document</w:t>
      </w:r>
      <w:r>
        <w:rPr>
          <w:rFonts w:ascii="Times New Roman" w:eastAsia="Times New Roman" w:hAnsi="Times New Roman" w:cs="Times New Roman"/>
          <w:sz w:val="24"/>
          <w:szCs w:val="24"/>
          <w:lang w:val="en-GB" w:eastAsia="en-US"/>
        </w:rPr>
        <w:t xml:space="preserve"> p</w:t>
      </w:r>
      <w:r>
        <w:rPr>
          <w:rFonts w:ascii="Times New Roman" w:eastAsia="Times New Roman" w:hAnsi="Times New Roman" w:cs="Times New Roman"/>
          <w:sz w:val="24"/>
          <w:szCs w:val="24"/>
          <w:lang w:val="en-GB" w:eastAsia="en-US"/>
        </w:rPr>
        <w:t xml:space="preserve">repared by </w:t>
      </w:r>
      <w:r>
        <w:rPr>
          <w:rFonts w:ascii="Times New Roman" w:eastAsia="Times New Roman" w:hAnsi="Times New Roman" w:cs="Times New Roman"/>
          <w:sz w:val="24"/>
          <w:szCs w:val="24"/>
          <w:lang w:val="lv-LV" w:eastAsia="en-US"/>
        </w:rPr>
        <w:t>Finance and Capital Market Commission</w:t>
      </w:r>
      <w:r>
        <w:rPr>
          <w:rFonts w:ascii="Times New Roman" w:eastAsia="Times New Roman" w:hAnsi="Times New Roman" w:cs="Times New Roman"/>
          <w:sz w:val="24"/>
          <w:szCs w:val="24"/>
          <w:lang w:val="en-GB" w:eastAsia="en-US"/>
        </w:rPr>
        <w:t>- Identification of the True Beneficiaries of Credit Institution’s Clients</w:t>
      </w:r>
      <w:r>
        <w:rPr>
          <w:rFonts w:ascii="Times New Roman" w:eastAsia="Times New Roman" w:hAnsi="Times New Roman" w:cs="Times New Roman"/>
          <w:sz w:val="24"/>
          <w:szCs w:val="24"/>
          <w:lang w:val="lv-LV" w:eastAsia="en-US"/>
        </w:rPr>
        <w:t xml:space="preserve"> it is highlighted that legal person, as such is a legal fiction, as it is always performing and working under control and for the ben</w:t>
      </w:r>
      <w:r>
        <w:rPr>
          <w:rFonts w:ascii="Times New Roman" w:eastAsia="Times New Roman" w:hAnsi="Times New Roman" w:cs="Times New Roman"/>
          <w:sz w:val="24"/>
          <w:szCs w:val="24"/>
          <w:lang w:val="lv-LV" w:eastAsia="en-US"/>
        </w:rPr>
        <w:t xml:space="preserve">efit of a natural person. </w:t>
      </w:r>
      <w:r>
        <w:rPr>
          <w:rFonts w:ascii="Times New Roman" w:eastAsia="Times New Roman" w:hAnsi="Times New Roman" w:cs="Times New Roman"/>
          <w:sz w:val="24"/>
          <w:szCs w:val="24"/>
          <w:lang w:val="en-GB" w:eastAsia="en-US"/>
        </w:rPr>
        <w:t>Despite the legal form of business the entity or organisation is ruled by one or multiple natural persons , for whose benefit it was established or who are in control of it , for example via exercising their decision-making rights</w:t>
      </w:r>
      <w:r>
        <w:rPr>
          <w:rFonts w:ascii="Times New Roman" w:eastAsia="Times New Roman" w:hAnsi="Times New Roman" w:cs="Times New Roman"/>
          <w:sz w:val="24"/>
          <w:szCs w:val="24"/>
          <w:lang w:val="en-GB" w:eastAsia="en-US"/>
        </w:rPr>
        <w:t>. Even though, for example section 12 of the criminal law of Latvia “</w:t>
      </w:r>
      <w:r>
        <w:rPr>
          <w:rFonts w:ascii="Times New Roman" w:eastAsia="Times New Roman" w:hAnsi="Times New Roman" w:cs="Times New Roman"/>
          <w:sz w:val="24"/>
          <w:szCs w:val="24"/>
          <w:lang w:eastAsia="en-US"/>
        </w:rPr>
        <w:t>Liability of a Natural Person in the Case of a Legal Person</w:t>
      </w:r>
      <w:r>
        <w:rPr>
          <w:rFonts w:ascii="Times New Roman" w:eastAsia="Times New Roman" w:hAnsi="Times New Roman" w:cs="Times New Roman"/>
          <w:sz w:val="24"/>
          <w:szCs w:val="24"/>
          <w:lang w:val="en-GB" w:eastAsia="en-US"/>
        </w:rPr>
        <w:t>” states following</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fr-FR" w:eastAsia="en-US"/>
        </w:rPr>
        <w:t>A natural person who has committed a criminal offence acting in the interests of a legal person governed by p</w:t>
      </w:r>
      <w:r>
        <w:rPr>
          <w:rFonts w:ascii="Times New Roman" w:eastAsia="Times New Roman" w:hAnsi="Times New Roman" w:cs="Times New Roman"/>
          <w:szCs w:val="24"/>
          <w:lang w:val="fr-FR" w:eastAsia="en-US"/>
        </w:rPr>
        <w:t>rivate law, for the benefit of the person or as a result of insufficient supervision or control thereof shall be held criminally liable, but the coercive measures provided for in this Law may be applied to the legal person.</w:t>
      </w:r>
      <w:r>
        <w:rPr>
          <w:rFonts w:ascii="Times New Roman" w:eastAsia="Times New Roman" w:hAnsi="Times New Roman" w:cs="Times New Roman"/>
          <w:szCs w:val="24"/>
          <w:vertAlign w:val="superscript"/>
          <w:lang w:val="fr-FR" w:eastAsia="en-US"/>
        </w:rPr>
        <w:footnoteReference w:id="65"/>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Thus despite the fact that this section does not deny the liability of the legal person as such it serves as an example that the natural person shall be equally liable for an action, because specifically the natural person is the one liable for the decisio</w:t>
      </w:r>
      <w:r>
        <w:rPr>
          <w:rFonts w:ascii="Times New Roman" w:eastAsia="Times New Roman" w:hAnsi="Times New Roman" w:cs="Times New Roman"/>
          <w:sz w:val="24"/>
          <w:szCs w:val="24"/>
          <w:lang w:val="en-GB" w:eastAsia="en-US"/>
        </w:rPr>
        <w:t xml:space="preserve">n-making process and bears the responsibility for the actions that take place within the business activity and performance of a legal person or arrangement. </w:t>
      </w:r>
    </w:p>
    <w:p w:rsidR="003540B4" w:rsidRDefault="008C0147">
      <w:pPr>
        <w:pStyle w:val="RGSLNormalwithindentation"/>
        <w:jc w:val="both"/>
        <w:rPr>
          <w:rFonts w:ascii="Times New Roman" w:eastAsiaTheme="majorEastAsia" w:hAnsi="Times New Roman" w:cs="Tahoma"/>
          <w:b/>
          <w:smallCaps/>
          <w:color w:val="000000" w:themeColor="text1"/>
          <w:sz w:val="28"/>
          <w:szCs w:val="28"/>
          <w:lang w:val="en-GB"/>
        </w:rPr>
      </w:pPr>
      <w:r>
        <w:rPr>
          <w:rFonts w:ascii="Times New Roman" w:eastAsia="Times New Roman" w:hAnsi="Times New Roman" w:cs="Times New Roman"/>
          <w:sz w:val="24"/>
          <w:szCs w:val="24"/>
          <w:lang w:val="lv-LV" w:eastAsia="en-US"/>
        </w:rPr>
        <w:t>Thus as such the case when the organisation is without a beneficial owner is impossible. There onl</w:t>
      </w:r>
      <w:r>
        <w:rPr>
          <w:rFonts w:ascii="Times New Roman" w:eastAsia="Times New Roman" w:hAnsi="Times New Roman" w:cs="Times New Roman"/>
          <w:sz w:val="24"/>
          <w:szCs w:val="24"/>
          <w:lang w:val="lv-LV" w:eastAsia="en-US"/>
        </w:rPr>
        <w:t xml:space="preserve">y exists a possibility that </w:t>
      </w:r>
      <w:r>
        <w:rPr>
          <w:rFonts w:ascii="Times New Roman" w:eastAsia="Times New Roman" w:hAnsi="Times New Roman" w:cs="Times New Roman"/>
          <w:sz w:val="24"/>
          <w:szCs w:val="24"/>
          <w:lang w:val="en-GB" w:eastAsia="en-US"/>
        </w:rPr>
        <w:t>there can</w:t>
      </w:r>
      <w:r>
        <w:rPr>
          <w:rFonts w:ascii="Times New Roman" w:eastAsia="Times New Roman" w:hAnsi="Times New Roman" w:cs="Times New Roman"/>
          <w:sz w:val="24"/>
          <w:szCs w:val="24"/>
          <w:lang w:val="lv-LV" w:eastAsia="en-US"/>
        </w:rPr>
        <w:t xml:space="preserve"> be a</w:t>
      </w:r>
      <w:r>
        <w:rPr>
          <w:rFonts w:ascii="Times New Roman" w:eastAsia="Times New Roman" w:hAnsi="Times New Roman" w:cs="Times New Roman"/>
          <w:sz w:val="24"/>
          <w:szCs w:val="24"/>
          <w:lang w:val="en-GB" w:eastAsia="en-US"/>
        </w:rPr>
        <w:t xml:space="preserve"> such</w:t>
      </w:r>
      <w:r>
        <w:rPr>
          <w:rFonts w:ascii="Times New Roman" w:eastAsia="Times New Roman" w:hAnsi="Times New Roman" w:cs="Times New Roman"/>
          <w:sz w:val="24"/>
          <w:szCs w:val="24"/>
          <w:lang w:val="lv-LV" w:eastAsia="en-US"/>
        </w:rPr>
        <w:t xml:space="preserve"> beneficial owner that is not fitting under the legal definition give</w:t>
      </w:r>
      <w:r>
        <w:rPr>
          <w:rFonts w:ascii="Times New Roman" w:eastAsia="Times New Roman" w:hAnsi="Times New Roman" w:cs="Times New Roman"/>
          <w:sz w:val="24"/>
          <w:szCs w:val="24"/>
          <w:lang w:val="en-GB" w:eastAsia="en-US"/>
        </w:rPr>
        <w:t>n</w:t>
      </w:r>
      <w:r>
        <w:rPr>
          <w:rFonts w:ascii="Times New Roman" w:eastAsia="Times New Roman" w:hAnsi="Times New Roman" w:cs="Times New Roman"/>
          <w:sz w:val="24"/>
          <w:szCs w:val="24"/>
          <w:lang w:val="lv-LV" w:eastAsia="en-US"/>
        </w:rPr>
        <w:t xml:space="preserve"> in the Law on the Prevention of</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Money</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Laundering and Terrorism and Proliferation Financing, which has been previously cited.</w:t>
      </w:r>
      <w:r>
        <w:rPr>
          <w:rFonts w:ascii="Times New Roman" w:eastAsia="Times New Roman" w:hAnsi="Times New Roman" w:cs="Times New Roman"/>
          <w:sz w:val="24"/>
          <w:szCs w:val="24"/>
          <w:lang w:val="en-GB" w:eastAsia="en-US"/>
        </w:rPr>
        <w:t xml:space="preserve"> Yet in this c</w:t>
      </w:r>
      <w:r>
        <w:rPr>
          <w:rFonts w:ascii="Times New Roman" w:eastAsia="Times New Roman" w:hAnsi="Times New Roman" w:cs="Times New Roman"/>
          <w:sz w:val="24"/>
          <w:szCs w:val="24"/>
          <w:lang w:val="en-GB" w:eastAsia="en-US"/>
        </w:rPr>
        <w:t xml:space="preserve">ase there are also prescribed by the measures that may be followed to establish the natural person responsible and thus identified such person as the beneficial owner. Such measures will be further on identified. </w:t>
      </w:r>
      <w:r>
        <w:rPr>
          <w:rFonts w:ascii="Times New Roman" w:eastAsia="Times New Roman" w:hAnsi="Times New Roman" w:cs="Times New Roman"/>
          <w:sz w:val="24"/>
          <w:szCs w:val="24"/>
          <w:lang w:val="lv-LV" w:eastAsia="en-US"/>
        </w:rPr>
        <w:t xml:space="preserve">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23" w:name="_Toc13189"/>
      <w:r>
        <w:rPr>
          <w:rFonts w:ascii="Times New Roman" w:eastAsiaTheme="majorEastAsia" w:hAnsi="Times New Roman" w:hint="default"/>
          <w:color w:val="000000" w:themeColor="text1"/>
          <w:lang w:val="lv-LV" w:eastAsia="ru-RU"/>
        </w:rPr>
        <w:t>3.2.</w:t>
      </w:r>
      <w:r>
        <w:rPr>
          <w:rFonts w:ascii="Times New Roman" w:eastAsiaTheme="majorEastAsia" w:hAnsi="Times New Roman"/>
          <w:color w:val="000000" w:themeColor="text1"/>
          <w:lang w:val="en-GB" w:eastAsia="ru-RU"/>
        </w:rPr>
        <w:t xml:space="preserve">Mandatory Registration of Beneficial </w:t>
      </w:r>
      <w:r>
        <w:rPr>
          <w:rFonts w:ascii="Times New Roman" w:eastAsiaTheme="majorEastAsia" w:hAnsi="Times New Roman"/>
          <w:color w:val="000000" w:themeColor="text1"/>
          <w:lang w:val="en-GB" w:eastAsia="ru-RU"/>
        </w:rPr>
        <w:t>Owners in the Enterprise Registry.</w:t>
      </w:r>
      <w:bookmarkEnd w:id="23"/>
      <w:r>
        <w:rPr>
          <w:rFonts w:ascii="Times New Roman" w:eastAsiaTheme="majorEastAsia" w:hAnsi="Times New Roman"/>
          <w:color w:val="000000" w:themeColor="text1"/>
          <w:lang w:val="en-GB" w:eastAsia="ru-RU"/>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As it was previously indicated the AML Directives have stipulated that the beneficial owners of the legal persons or arrangements shall be registered in the common for the EU states registry. Means by which this aim is achieved is first of all creating a n</w:t>
      </w:r>
      <w:r>
        <w:rPr>
          <w:rFonts w:ascii="Times New Roman" w:eastAsia="Times New Roman" w:hAnsi="Times New Roman" w:cs="Times New Roman"/>
          <w:sz w:val="24"/>
          <w:szCs w:val="24"/>
          <w:lang w:val="en-GB" w:eastAsia="en-US"/>
        </w:rPr>
        <w:t xml:space="preserve">ational Enterprise Registry. </w:t>
      </w:r>
    </w:p>
    <w:p w:rsidR="003540B4" w:rsidRDefault="008C0147">
      <w:pPr>
        <w:pStyle w:val="RGSLNormalwithindentation"/>
        <w:jc w:val="both"/>
        <w:rPr>
          <w:rFonts w:ascii="Times New Roman" w:eastAsia="Times New Roman" w:hAnsi="Times New Roman" w:cs="Times New Roman"/>
          <w:sz w:val="24"/>
          <w:szCs w:val="24"/>
          <w:lang w:eastAsia="ru-RU"/>
        </w:rPr>
      </w:pPr>
      <w:bookmarkStart w:id="24" w:name="_Toc5351"/>
      <w:bookmarkStart w:id="25" w:name="_Toc15237"/>
      <w:r>
        <w:rPr>
          <w:rFonts w:ascii="Times New Roman" w:eastAsia="Times New Roman" w:hAnsi="Times New Roman" w:cs="Times New Roman"/>
          <w:sz w:val="24"/>
          <w:szCs w:val="24"/>
          <w:lang w:val="en-GB" w:eastAsia="en-US"/>
        </w:rPr>
        <w:t>Thus it</w:t>
      </w:r>
      <w:r>
        <w:rPr>
          <w:rFonts w:ascii="Times New Roman" w:eastAsia="Times New Roman" w:hAnsi="Times New Roman" w:cs="Times New Roman"/>
          <w:sz w:val="24"/>
          <w:szCs w:val="24"/>
          <w:lang w:val="lv-LV" w:eastAsia="en-US"/>
        </w:rPr>
        <w:t xml:space="preserve"> should be also mentioned that there have been imposed obligations on the legal person</w:t>
      </w:r>
      <w:r>
        <w:rPr>
          <w:rFonts w:ascii="Times New Roman" w:eastAsia="Times New Roman" w:hAnsi="Times New Roman" w:cs="Times New Roman"/>
          <w:sz w:val="24"/>
          <w:szCs w:val="24"/>
          <w:lang w:val="en-GB" w:eastAsia="en-US"/>
        </w:rPr>
        <w:t>s</w:t>
      </w:r>
      <w:r>
        <w:rPr>
          <w:rFonts w:ascii="Times New Roman" w:eastAsia="Times New Roman" w:hAnsi="Times New Roman" w:cs="Times New Roman"/>
          <w:sz w:val="24"/>
          <w:szCs w:val="24"/>
          <w:lang w:val="lv-LV" w:eastAsia="en-US"/>
        </w:rPr>
        <w:t xml:space="preserve"> to register their beneficial owners in the</w:t>
      </w:r>
      <w:r>
        <w:rPr>
          <w:rFonts w:ascii="Times New Roman" w:eastAsia="Times New Roman" w:hAnsi="Times New Roman" w:cs="Times New Roman"/>
          <w:sz w:val="24"/>
          <w:szCs w:val="24"/>
          <w:lang w:val="en-GB" w:eastAsia="en-US"/>
        </w:rPr>
        <w:t xml:space="preserve"> Latvian national</w:t>
      </w:r>
      <w:r>
        <w:rPr>
          <w:rFonts w:ascii="Times New Roman" w:eastAsia="Times New Roman" w:hAnsi="Times New Roman" w:cs="Times New Roman"/>
          <w:sz w:val="24"/>
          <w:szCs w:val="24"/>
          <w:lang w:val="lv-LV" w:eastAsia="en-US"/>
        </w:rPr>
        <w:t xml:space="preserve"> state </w:t>
      </w:r>
      <w:r>
        <w:rPr>
          <w:rFonts w:ascii="Times New Roman" w:eastAsia="Times New Roman" w:hAnsi="Times New Roman" w:cs="Times New Roman"/>
          <w:sz w:val="24"/>
          <w:szCs w:val="24"/>
          <w:lang w:val="en-GB" w:eastAsia="en-US"/>
        </w:rPr>
        <w:t>Enterprise</w:t>
      </w:r>
      <w:r>
        <w:rPr>
          <w:rFonts w:ascii="Times New Roman" w:eastAsia="Times New Roman" w:hAnsi="Times New Roman" w:cs="Times New Roman"/>
          <w:sz w:val="24"/>
          <w:szCs w:val="24"/>
          <w:lang w:val="lv-LV" w:eastAsia="en-US"/>
        </w:rPr>
        <w:t xml:space="preserve"> registry until 1st of march </w:t>
      </w:r>
      <w:r>
        <w:rPr>
          <w:rFonts w:ascii="Times New Roman" w:eastAsia="Times New Roman" w:hAnsi="Times New Roman" w:cs="Times New Roman"/>
          <w:sz w:val="24"/>
          <w:szCs w:val="24"/>
          <w:lang w:val="en-GB" w:eastAsia="en-US"/>
        </w:rPr>
        <w:t xml:space="preserve">of </w:t>
      </w:r>
      <w:r>
        <w:rPr>
          <w:rFonts w:ascii="Times New Roman" w:eastAsia="Times New Roman" w:hAnsi="Times New Roman" w:cs="Times New Roman"/>
          <w:sz w:val="24"/>
          <w:szCs w:val="24"/>
          <w:lang w:val="lv-LV" w:eastAsia="en-US"/>
        </w:rPr>
        <w:t>2018.</w:t>
      </w:r>
      <w:r>
        <w:rPr>
          <w:rFonts w:ascii="Times New Roman" w:eastAsia="Times New Roman" w:hAnsi="Times New Roman" w:cs="Times New Roman"/>
          <w:sz w:val="24"/>
          <w:szCs w:val="24"/>
          <w:lang w:val="en-GB" w:eastAsia="en-US"/>
        </w:rPr>
        <w:t xml:space="preserve"> Thus currently if</w:t>
      </w:r>
      <w:r>
        <w:rPr>
          <w:rFonts w:ascii="Times New Roman" w:eastAsia="Times New Roman" w:hAnsi="Times New Roman" w:cs="Times New Roman"/>
          <w:sz w:val="24"/>
          <w:szCs w:val="24"/>
          <w:lang w:val="en-GB" w:eastAsia="en-US"/>
        </w:rPr>
        <w:t xml:space="preserve"> a legal person or arrangement is registered in Latvia, there is an information kept on its beneficial owners and shareholders in the Enterprise registry. This information is in free access to the public on the portal company.lursoft.lv. For the additional</w:t>
      </w:r>
      <w:r>
        <w:rPr>
          <w:rFonts w:ascii="Times New Roman" w:eastAsia="Times New Roman" w:hAnsi="Times New Roman" w:cs="Times New Roman"/>
          <w:sz w:val="24"/>
          <w:szCs w:val="24"/>
          <w:lang w:val="en-GB" w:eastAsia="en-US"/>
        </w:rPr>
        <w:t xml:space="preserve"> fee any person aware of the name and legal form of the company ( for the precision of the search ) has an opportunity to get acquainted with an information available to the enterprise registry including natural persons forming the board of directives of t</w:t>
      </w:r>
      <w:r>
        <w:rPr>
          <w:rFonts w:ascii="Times New Roman" w:eastAsia="Times New Roman" w:hAnsi="Times New Roman" w:cs="Times New Roman"/>
          <w:sz w:val="24"/>
          <w:szCs w:val="24"/>
          <w:lang w:val="en-GB" w:eastAsia="en-US"/>
        </w:rPr>
        <w:t xml:space="preserve">he legal person or arrangement, their positions, beneficial owners, shareholding division, etc. ). As well as under state national law in force in order to ensure the truthfulness of the information and the fact that information in the Enterprise Registry </w:t>
      </w:r>
      <w:r>
        <w:rPr>
          <w:rFonts w:ascii="Times New Roman" w:eastAsia="Times New Roman" w:hAnsi="Times New Roman" w:cs="Times New Roman"/>
          <w:sz w:val="24"/>
          <w:szCs w:val="24"/>
          <w:lang w:val="en-GB" w:eastAsia="en-US"/>
        </w:rPr>
        <w:t xml:space="preserve">is up to date and in order to control the performance of the legal persons and avoid money laundering through disguise of the ownership structure of the organisation </w:t>
      </w:r>
      <w:r>
        <w:rPr>
          <w:rFonts w:ascii="Times New Roman" w:eastAsia="Times New Roman" w:hAnsi="Times New Roman" w:cs="Times New Roman"/>
          <w:sz w:val="24"/>
          <w:szCs w:val="24"/>
          <w:lang w:val="lv-LV" w:eastAsia="en-US"/>
        </w:rPr>
        <w:t xml:space="preserve">there is an obligation </w:t>
      </w:r>
      <w:r>
        <w:rPr>
          <w:rFonts w:ascii="Times New Roman" w:eastAsia="Times New Roman" w:hAnsi="Times New Roman" w:cs="Times New Roman"/>
          <w:sz w:val="24"/>
          <w:szCs w:val="24"/>
          <w:lang w:val="en-GB" w:eastAsia="en-US"/>
        </w:rPr>
        <w:t xml:space="preserve">imposed on </w:t>
      </w:r>
      <w:r>
        <w:rPr>
          <w:rFonts w:ascii="Times New Roman" w:eastAsia="Times New Roman" w:hAnsi="Times New Roman" w:cs="Times New Roman"/>
          <w:sz w:val="24"/>
          <w:szCs w:val="24"/>
          <w:lang w:val="lv-LV" w:eastAsia="en-US"/>
        </w:rPr>
        <w:t>the</w:t>
      </w:r>
      <w:r>
        <w:rPr>
          <w:rFonts w:ascii="Times New Roman" w:eastAsia="Times New Roman" w:hAnsi="Times New Roman" w:cs="Times New Roman"/>
          <w:sz w:val="24"/>
          <w:szCs w:val="24"/>
          <w:lang w:val="en-GB" w:eastAsia="en-US"/>
        </w:rPr>
        <w:t xml:space="preserve"> credit and</w:t>
      </w:r>
      <w:r>
        <w:rPr>
          <w:rFonts w:ascii="Times New Roman" w:eastAsia="Times New Roman" w:hAnsi="Times New Roman" w:cs="Times New Roman"/>
          <w:sz w:val="24"/>
          <w:szCs w:val="24"/>
          <w:lang w:val="lv-LV" w:eastAsia="en-US"/>
        </w:rPr>
        <w:t xml:space="preserve"> financial institutions</w:t>
      </w:r>
      <w:r>
        <w:rPr>
          <w:rFonts w:ascii="Times New Roman" w:eastAsia="Times New Roman" w:hAnsi="Times New Roman" w:cs="Times New Roman"/>
          <w:sz w:val="24"/>
          <w:szCs w:val="24"/>
          <w:lang w:val="en-GB" w:eastAsia="en-US"/>
        </w:rPr>
        <w:t xml:space="preserve"> as well as other p</w:t>
      </w:r>
      <w:r>
        <w:rPr>
          <w:rFonts w:ascii="Times New Roman" w:eastAsia="Times New Roman" w:hAnsi="Times New Roman" w:cs="Times New Roman"/>
          <w:sz w:val="24"/>
          <w:szCs w:val="24"/>
          <w:lang w:val="en-GB" w:eastAsia="en-US"/>
        </w:rPr>
        <w:t xml:space="preserve">ersons fitting within the scope of definition of subjects of the law listed in Section 3 of the Law on prevention of Money Laundering </w:t>
      </w:r>
      <w:r>
        <w:rPr>
          <w:rFonts w:ascii="Times New Roman" w:eastAsia="Times New Roman" w:hAnsi="Times New Roman" w:cs="Times New Roman"/>
          <w:sz w:val="24"/>
          <w:szCs w:val="24"/>
          <w:lang w:val="lv-LV" w:eastAsia="en-US"/>
        </w:rPr>
        <w:t>to notify the Enterprise registry about the found typing or factual as to the substance non-conformity of the data receive</w:t>
      </w:r>
      <w:r>
        <w:rPr>
          <w:rFonts w:ascii="Times New Roman" w:eastAsia="Times New Roman" w:hAnsi="Times New Roman" w:cs="Times New Roman"/>
          <w:sz w:val="24"/>
          <w:szCs w:val="24"/>
          <w:lang w:val="lv-LV" w:eastAsia="en-US"/>
        </w:rPr>
        <w:t xml:space="preserve">d in the customer due </w:t>
      </w:r>
      <w:r>
        <w:rPr>
          <w:rFonts w:ascii="Times New Roman" w:eastAsia="Times New Roman" w:hAnsi="Times New Roman" w:cs="Times New Roman"/>
          <w:sz w:val="24"/>
          <w:szCs w:val="24"/>
          <w:lang w:val="en-GB" w:eastAsia="en-US"/>
        </w:rPr>
        <w:t>diligence</w:t>
      </w:r>
      <w:r>
        <w:rPr>
          <w:rFonts w:ascii="Times New Roman" w:eastAsia="Times New Roman" w:hAnsi="Times New Roman" w:cs="Times New Roman"/>
          <w:sz w:val="24"/>
          <w:szCs w:val="24"/>
          <w:lang w:val="lv-LV" w:eastAsia="en-US"/>
        </w:rPr>
        <w:t xml:space="preserve"> process and the data available in the registry</w:t>
      </w:r>
      <w:r>
        <w:rPr>
          <w:rFonts w:ascii="Times New Roman" w:eastAsia="Times New Roman" w:hAnsi="Times New Roman" w:cs="Times New Roman"/>
          <w:sz w:val="24"/>
          <w:szCs w:val="24"/>
          <w:lang w:val="lv-LV" w:eastAsia="en-US"/>
        </w:rPr>
        <w:footnoteReference w:id="66"/>
      </w:r>
      <w:r>
        <w:rPr>
          <w:rFonts w:ascii="Times New Roman" w:eastAsia="Times New Roman" w:hAnsi="Times New Roman" w:cs="Times New Roman"/>
          <w:sz w:val="24"/>
          <w:szCs w:val="24"/>
          <w:lang w:val="lv-LV" w:eastAsia="en-US"/>
        </w:rPr>
        <w:t xml:space="preserve"> ( this has to be done </w:t>
      </w:r>
      <w:r>
        <w:rPr>
          <w:rFonts w:ascii="Times New Roman" w:eastAsia="Times New Roman" w:hAnsi="Times New Roman" w:cs="Times New Roman"/>
          <w:sz w:val="24"/>
          <w:szCs w:val="24"/>
          <w:lang w:val="en-GB" w:eastAsia="en-US"/>
        </w:rPr>
        <w:t>without</w:t>
      </w:r>
      <w:r>
        <w:rPr>
          <w:rFonts w:ascii="Times New Roman" w:eastAsia="Times New Roman" w:hAnsi="Times New Roman" w:cs="Times New Roman"/>
          <w:sz w:val="24"/>
          <w:szCs w:val="24"/>
          <w:lang w:val="lv-LV" w:eastAsia="en-US"/>
        </w:rPr>
        <w:t xml:space="preserve"> delay but not later than within three working days). This obligation is imposed by section 18 point 31</w:t>
      </w:r>
      <w:r>
        <w:rPr>
          <w:rFonts w:ascii="Times New Roman" w:eastAsia="Times New Roman" w:hAnsi="Times New Roman" w:cs="Times New Roman"/>
          <w:sz w:val="24"/>
          <w:szCs w:val="24"/>
          <w:lang w:val="en-GB" w:eastAsia="en-US"/>
        </w:rPr>
        <w:t xml:space="preserve"> of the Law </w:t>
      </w:r>
      <w:r>
        <w:rPr>
          <w:rFonts w:ascii="Times New Roman" w:eastAsia="Times New Roman" w:hAnsi="Times New Roman" w:cs="Times New Roman"/>
          <w:sz w:val="24"/>
          <w:szCs w:val="24"/>
          <w:lang w:eastAsia="ru-RU"/>
        </w:rPr>
        <w:t>on the Prevention of Money Laund</w:t>
      </w:r>
      <w:r>
        <w:rPr>
          <w:rFonts w:ascii="Times New Roman" w:eastAsia="Times New Roman" w:hAnsi="Times New Roman" w:cs="Times New Roman"/>
          <w:sz w:val="24"/>
          <w:szCs w:val="24"/>
          <w:lang w:eastAsia="ru-RU"/>
        </w:rPr>
        <w:t>ering and Terrorism and Proliferation Financing</w:t>
      </w:r>
      <w:bookmarkEnd w:id="24"/>
      <w:bookmarkEnd w:id="25"/>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As the beneficial owner is defined in the law, as a natural person for the benefit of whom the legal person or arrangement was created or is performing/ working, or who in direct or indirect ways controls </w:t>
      </w:r>
      <w:r>
        <w:rPr>
          <w:rFonts w:ascii="Times New Roman" w:eastAsia="Times New Roman" w:hAnsi="Times New Roman" w:cs="Times New Roman"/>
          <w:sz w:val="24"/>
          <w:szCs w:val="24"/>
          <w:lang w:val="en-GB" w:eastAsia="en-US"/>
        </w:rPr>
        <w:t xml:space="preserve">it. It is necessary to specify on direct and indirect control. The case of a direct control it is clear- the beneficial owner is a person who has a position in the board of directors or senior management or by exercising his shareholders voting rights may </w:t>
      </w:r>
      <w:r>
        <w:rPr>
          <w:rFonts w:ascii="Times New Roman" w:eastAsia="Times New Roman" w:hAnsi="Times New Roman" w:cs="Times New Roman"/>
          <w:sz w:val="24"/>
          <w:szCs w:val="24"/>
          <w:lang w:val="en-GB" w:eastAsia="en-US"/>
        </w:rPr>
        <w:t>directly affect the decision making process in the legal person. If it is an indirect control it means that the directions are given through another person ( natural or legal) and this case is more complicated when researching the ownership structure of th</w:t>
      </w:r>
      <w:r>
        <w:rPr>
          <w:rFonts w:ascii="Times New Roman" w:eastAsia="Times New Roman" w:hAnsi="Times New Roman" w:cs="Times New Roman"/>
          <w:sz w:val="24"/>
          <w:szCs w:val="24"/>
          <w:lang w:val="en-GB" w:eastAsia="en-US"/>
        </w:rPr>
        <w:t xml:space="preserve">e legal person in order to identify the beneficial owner. </w:t>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In the Glossary to FATF Recommendations the beneficial owner is defined as a</w:t>
      </w:r>
      <w:r>
        <w:rPr>
          <w:rFonts w:ascii="Times New Roman" w:eastAsia="Times New Roman" w:hAnsi="Times New Roman" w:cs="Times New Roman"/>
          <w:sz w:val="24"/>
          <w:szCs w:val="24"/>
          <w:lang w:val="lv-LV"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lv-LV" w:eastAsia="en-US"/>
        </w:rPr>
        <w:t>natural person(s) who ultimately owns or controls a customer and/or the natural person on whose behalf a transaction is</w:t>
      </w:r>
      <w:r>
        <w:rPr>
          <w:rFonts w:ascii="Times New Roman" w:eastAsia="Times New Roman" w:hAnsi="Times New Roman" w:cs="Times New Roman"/>
          <w:szCs w:val="24"/>
          <w:lang w:val="lv-LV" w:eastAsia="en-US"/>
        </w:rPr>
        <w:t xml:space="preserve"> being conducted. It also includes those persons who exercise ultimate effective control over a legal person or arrangement.</w:t>
      </w:r>
      <w:r>
        <w:rPr>
          <w:rFonts w:ascii="Times New Roman" w:eastAsia="Times New Roman" w:hAnsi="Times New Roman" w:cs="Times New Roman"/>
          <w:szCs w:val="24"/>
          <w:vertAlign w:val="superscript"/>
          <w:lang w:val="lv-LV" w:eastAsia="en-US"/>
        </w:rPr>
        <w:footnoteReference w:id="67"/>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 xml:space="preserve">Ultimate ownership, control and effective control are related to cases of indirect control through a chain of ownership. </w:t>
      </w:r>
      <w:r>
        <w:rPr>
          <w:rFonts w:ascii="Times New Roman" w:eastAsia="Times New Roman" w:hAnsi="Times New Roman" w:cs="Times New Roman"/>
          <w:sz w:val="24"/>
          <w:szCs w:val="24"/>
          <w:lang w:val="lv-LV" w:eastAsia="en-US"/>
        </w:rPr>
        <w:t>In case o</w:t>
      </w:r>
      <w:r>
        <w:rPr>
          <w:rFonts w:ascii="Times New Roman" w:eastAsia="Times New Roman" w:hAnsi="Times New Roman" w:cs="Times New Roman"/>
          <w:sz w:val="24"/>
          <w:szCs w:val="24"/>
          <w:lang w:val="lv-LV" w:eastAsia="en-US"/>
        </w:rPr>
        <w:t xml:space="preserve">f a direct participation or control the beneficial owner controls the legal person or arrangement in direct way by exercising his/ hers legal control or ownership rights ( for example, he is a member of the board). On the other hand in case of an indirect </w:t>
      </w:r>
      <w:r>
        <w:rPr>
          <w:rFonts w:ascii="Times New Roman" w:eastAsia="Times New Roman" w:hAnsi="Times New Roman" w:cs="Times New Roman"/>
          <w:sz w:val="24"/>
          <w:szCs w:val="24"/>
          <w:lang w:val="lv-LV" w:eastAsia="en-US"/>
        </w:rPr>
        <w:t>ownership or control the control is exercised through another natural or legal person. That could be exercised vi</w:t>
      </w:r>
      <w:r>
        <w:rPr>
          <w:rFonts w:ascii="Times New Roman" w:eastAsia="Times New Roman" w:hAnsi="Times New Roman" w:cs="Times New Roman"/>
          <w:sz w:val="24"/>
          <w:szCs w:val="24"/>
          <w:lang w:val="en-GB" w:eastAsia="en-US"/>
        </w:rPr>
        <w:t>a</w:t>
      </w:r>
      <w:r>
        <w:rPr>
          <w:rFonts w:ascii="Times New Roman" w:eastAsia="Times New Roman" w:hAnsi="Times New Roman" w:cs="Times New Roman"/>
          <w:sz w:val="24"/>
          <w:szCs w:val="24"/>
          <w:lang w:val="lv-LV" w:eastAsia="en-US"/>
        </w:rPr>
        <w:t xml:space="preserve"> different means, through a conclusion of a contract or by exercising  dominant influence, by financing the legal person or arrangement or thr</w:t>
      </w:r>
      <w:r>
        <w:rPr>
          <w:rFonts w:ascii="Times New Roman" w:eastAsia="Times New Roman" w:hAnsi="Times New Roman" w:cs="Times New Roman"/>
          <w:sz w:val="24"/>
          <w:szCs w:val="24"/>
          <w:lang w:val="lv-LV" w:eastAsia="en-US"/>
        </w:rPr>
        <w:t>ough family relationships</w:t>
      </w:r>
      <w:r>
        <w:rPr>
          <w:rFonts w:ascii="Times New Roman" w:eastAsia="Times New Roman" w:hAnsi="Times New Roman" w:cs="Times New Roman"/>
          <w:sz w:val="24"/>
          <w:szCs w:val="24"/>
          <w:vertAlign w:val="superscript"/>
          <w:lang w:val="lv-LV" w:eastAsia="en-US"/>
        </w:rPr>
        <w:footnoteReference w:id="68"/>
      </w:r>
      <w:r>
        <w:rPr>
          <w:rFonts w:ascii="Times New Roman" w:eastAsia="Times New Roman" w:hAnsi="Times New Roman" w:cs="Times New Roman"/>
          <w:sz w:val="24"/>
          <w:szCs w:val="24"/>
          <w:lang w:val="lv-LV" w:eastAsia="en-US"/>
        </w:rPr>
        <w:t>. As such it may be a natural person may not take an official position in organisation, but via</w:t>
      </w:r>
      <w:r>
        <w:rPr>
          <w:rFonts w:ascii="Times New Roman" w:eastAsia="Times New Roman" w:hAnsi="Times New Roman" w:cs="Times New Roman"/>
          <w:sz w:val="24"/>
          <w:szCs w:val="24"/>
          <w:lang w:val="en-GB" w:eastAsia="en-US"/>
        </w:rPr>
        <w:t xml:space="preserve"> other</w:t>
      </w:r>
      <w:r>
        <w:rPr>
          <w:rFonts w:ascii="Times New Roman" w:eastAsia="Times New Roman" w:hAnsi="Times New Roman" w:cs="Times New Roman"/>
          <w:sz w:val="24"/>
          <w:szCs w:val="24"/>
          <w:lang w:val="lv-LV" w:eastAsia="en-US"/>
        </w:rPr>
        <w:t xml:space="preserve"> different means will be the owner of the legal person or arrangement, but will be using the “the senior management of the legal </w:t>
      </w:r>
      <w:r>
        <w:rPr>
          <w:rFonts w:ascii="Times New Roman" w:eastAsia="Times New Roman" w:hAnsi="Times New Roman" w:cs="Times New Roman"/>
          <w:sz w:val="24"/>
          <w:szCs w:val="24"/>
          <w:lang w:val="lv-LV" w:eastAsia="en-US"/>
        </w:rPr>
        <w:t>person or the assets of the legal person</w:t>
      </w:r>
      <w:r>
        <w:rPr>
          <w:rFonts w:ascii="Times New Roman" w:eastAsia="Times New Roman" w:hAnsi="Times New Roman" w:cs="Times New Roman"/>
          <w:sz w:val="24"/>
          <w:szCs w:val="24"/>
          <w:vertAlign w:val="superscript"/>
          <w:lang w:val="lv-LV" w:eastAsia="en-US"/>
        </w:rPr>
        <w:footnoteReference w:id="69"/>
      </w:r>
      <w:r>
        <w:rPr>
          <w:rFonts w:ascii="Times New Roman" w:eastAsia="Times New Roman" w:hAnsi="Times New Roman" w:cs="Times New Roman"/>
          <w:sz w:val="24"/>
          <w:szCs w:val="24"/>
          <w:lang w:val="lv-LV" w:eastAsia="en-US"/>
        </w:rPr>
        <w:t>” or  effectively exercises control over the legal person</w:t>
      </w:r>
      <w:r>
        <w:rPr>
          <w:rStyle w:val="FootnoteReference"/>
          <w:rFonts w:ascii="Times New Roman" w:eastAsia="Times New Roman" w:hAnsi="Times New Roman" w:cs="Times New Roman"/>
          <w:sz w:val="24"/>
          <w:szCs w:val="24"/>
          <w:lang w:val="lv-LV" w:eastAsia="en-US"/>
        </w:rPr>
        <w:footnoteReference w:id="70"/>
      </w:r>
      <w:r>
        <w:rPr>
          <w:rFonts w:ascii="Times New Roman" w:eastAsia="Times New Roman" w:hAnsi="Times New Roman" w:cs="Times New Roman"/>
          <w:sz w:val="24"/>
          <w:szCs w:val="24"/>
          <w:lang w:val="lv-LV" w:eastAsia="en-US"/>
        </w:rPr>
        <w:t xml:space="preserve">.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26" w:name="_Toc15579"/>
      <w:r>
        <w:rPr>
          <w:rFonts w:ascii="Times New Roman" w:eastAsiaTheme="majorEastAsia" w:hAnsi="Times New Roman" w:hint="default"/>
          <w:color w:val="000000" w:themeColor="text1"/>
          <w:lang w:val="lv-LV" w:eastAsia="ru-RU"/>
        </w:rPr>
        <w:t>3.3.</w:t>
      </w:r>
      <w:r>
        <w:rPr>
          <w:rFonts w:ascii="Times New Roman" w:eastAsiaTheme="majorEastAsia" w:hAnsi="Times New Roman"/>
          <w:color w:val="000000" w:themeColor="text1"/>
          <w:lang w:val="en-GB" w:eastAsia="ru-RU"/>
        </w:rPr>
        <w:t>Basis for omission of submission of information on the beneficial owner of legal person or arrangement</w:t>
      </w:r>
      <w:bookmarkEnd w:id="26"/>
    </w:p>
    <w:p w:rsidR="003540B4" w:rsidRDefault="008C0147">
      <w:pPr>
        <w:pStyle w:val="RGSLNormal"/>
        <w:jc w:val="both"/>
        <w:rPr>
          <w:rFonts w:ascii="Times New Roman" w:eastAsia="Times New Roman" w:hAnsi="Times New Roman" w:cs="Times New Roman"/>
          <w:sz w:val="24"/>
          <w:szCs w:val="24"/>
          <w:lang w:val="en-GB" w:eastAsia="ru-RU"/>
        </w:rPr>
      </w:pPr>
      <w:bookmarkStart w:id="27" w:name="_Toc14610"/>
      <w:r>
        <w:rPr>
          <w:rFonts w:ascii="Times New Roman" w:eastAsia="Times New Roman" w:hAnsi="Times New Roman" w:cs="Times New Roman"/>
          <w:sz w:val="24"/>
          <w:szCs w:val="24"/>
          <w:lang w:val="en-GB" w:eastAsia="en-US"/>
        </w:rPr>
        <w:t xml:space="preserve">If on the one hand there is an imposed </w:t>
      </w:r>
      <w:r>
        <w:rPr>
          <w:rFonts w:ascii="Times New Roman" w:eastAsia="Times New Roman" w:hAnsi="Times New Roman" w:cs="Times New Roman"/>
          <w:sz w:val="24"/>
          <w:szCs w:val="24"/>
          <w:lang w:val="en-GB" w:eastAsia="en-US"/>
        </w:rPr>
        <w:t>obligation on the legal person to submit the required information on the beneficial owners to the Enterprise registry and other bodies that have the same imposed by the law obligation to be aware of the beneficial owner of the legal person which is a custo</w:t>
      </w:r>
      <w:r>
        <w:rPr>
          <w:rFonts w:ascii="Times New Roman" w:eastAsia="Times New Roman" w:hAnsi="Times New Roman" w:cs="Times New Roman"/>
          <w:sz w:val="24"/>
          <w:szCs w:val="24"/>
          <w:lang w:val="en-GB" w:eastAsia="en-US"/>
        </w:rPr>
        <w:t>mer of such entity. On the other hand in Section 18. 2 part 6 in the Law on the Prevention of Money Laundering and Terrorism and Proliferation Financing</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allows the legal person not to disguise the beneficial owner stating that:</w:t>
      </w:r>
      <w:bookmarkEnd w:id="27"/>
      <w:r>
        <w:rPr>
          <w:rFonts w:ascii="Times New Roman" w:eastAsia="Times New Roman" w:hAnsi="Times New Roman" w:cs="Times New Roman"/>
          <w:sz w:val="24"/>
          <w:szCs w:val="24"/>
          <w:lang w:val="en-GB"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The legal person may omit t</w:t>
      </w:r>
      <w:r>
        <w:rPr>
          <w:rFonts w:ascii="Times New Roman" w:eastAsia="Times New Roman" w:hAnsi="Times New Roman" w:cs="Times New Roman"/>
          <w:szCs w:val="24"/>
          <w:lang w:eastAsia="ru-RU"/>
        </w:rPr>
        <w:t xml:space="preserve">he submission of the information to the Enterprise Register of the Republic of Latvia regarding the beneficial owner, if the beneficial owner is a stockholder in such joint stock company the stock whereof is listed on a regulated market, and the manner of </w:t>
      </w:r>
      <w:r>
        <w:rPr>
          <w:rFonts w:ascii="Times New Roman" w:eastAsia="Times New Roman" w:hAnsi="Times New Roman" w:cs="Times New Roman"/>
          <w:szCs w:val="24"/>
          <w:lang w:eastAsia="ru-RU"/>
        </w:rPr>
        <w:t>exercising control over the legal person stems only from the status of the stockholder</w:t>
      </w:r>
      <w:r>
        <w:rPr>
          <w:rFonts w:ascii="Times New Roman" w:eastAsia="Times New Roman" w:hAnsi="Times New Roman" w:cs="Times New Roman"/>
          <w:szCs w:val="24"/>
          <w:lang w:val="en-GB" w:eastAsia="ru-RU"/>
        </w:rPr>
        <w:t>.</w:t>
      </w:r>
      <w:r>
        <w:rPr>
          <w:rFonts w:ascii="Times New Roman" w:eastAsia="Times New Roman" w:hAnsi="Times New Roman" w:cs="Times New Roman"/>
          <w:szCs w:val="24"/>
          <w:vertAlign w:val="superscript"/>
          <w:lang w:eastAsia="ru-RU"/>
        </w:rPr>
        <w:footnoteReference w:id="71"/>
      </w:r>
    </w:p>
    <w:p w:rsidR="003540B4" w:rsidRDefault="008C0147">
      <w:pPr>
        <w:pStyle w:val="RGSLNormal"/>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eastAsia="ru-RU"/>
        </w:rPr>
        <w:t>This is the only by law identified reason not to provide the information regarding the beneficial owner. On the other hand the conditions set for such organisations pr</w:t>
      </w:r>
      <w:r>
        <w:rPr>
          <w:rFonts w:ascii="Times New Roman" w:eastAsia="Times New Roman" w:hAnsi="Times New Roman" w:cs="Times New Roman"/>
          <w:sz w:val="24"/>
          <w:szCs w:val="24"/>
          <w:lang w:val="en-GB" w:eastAsia="ru-RU"/>
        </w:rPr>
        <w:t xml:space="preserve">eclude the fact of opaque ownership and control structure, consequently the beneficiaries of the organisation will be identifiable and this will serve as a preventive measure to money laundering.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28" w:name="_Toc12567"/>
      <w:r>
        <w:rPr>
          <w:rFonts w:ascii="Times New Roman" w:eastAsiaTheme="majorEastAsia" w:hAnsi="Times New Roman" w:hint="default"/>
          <w:color w:val="000000" w:themeColor="text1"/>
          <w:lang w:val="lv-LV" w:eastAsia="ru-RU"/>
        </w:rPr>
        <w:t>3.4.</w:t>
      </w:r>
      <w:r>
        <w:rPr>
          <w:rFonts w:ascii="Times New Roman" w:eastAsiaTheme="majorEastAsia" w:hAnsi="Times New Roman" w:hint="default"/>
          <w:color w:val="000000" w:themeColor="text1"/>
          <w:lang w:val="en-GB" w:eastAsia="ru-RU"/>
        </w:rPr>
        <w:t xml:space="preserve">Natural person as a subject of the Criminal law </w:t>
      </w:r>
      <w:r>
        <w:rPr>
          <w:rFonts w:ascii="Times New Roman" w:eastAsiaTheme="majorEastAsia" w:hAnsi="Times New Roman" w:hint="default"/>
          <w:color w:val="000000" w:themeColor="text1"/>
          <w:lang w:val="lv-LV" w:eastAsia="ru-RU"/>
        </w:rPr>
        <w:t xml:space="preserve">of </w:t>
      </w:r>
      <w:r>
        <w:rPr>
          <w:rFonts w:ascii="Times New Roman" w:eastAsiaTheme="majorEastAsia" w:hAnsi="Times New Roman" w:hint="default"/>
          <w:color w:val="000000" w:themeColor="text1"/>
          <w:lang w:val="lv-LV" w:eastAsia="ru-RU"/>
        </w:rPr>
        <w:t>Latvia</w:t>
      </w:r>
      <w:bookmarkEnd w:id="28"/>
      <w:r>
        <w:rPr>
          <w:rFonts w:ascii="Times New Roman" w:eastAsiaTheme="majorEastAsia" w:hAnsi="Times New Roman" w:hint="default"/>
          <w:color w:val="000000" w:themeColor="text1"/>
          <w:lang w:val="lv-LV" w:eastAsia="ru-RU"/>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As it has been previously mentioned, money launderin</w:t>
      </w:r>
      <w:r>
        <w:rPr>
          <w:rFonts w:ascii="Times New Roman" w:eastAsia="Times New Roman" w:hAnsi="Times New Roman" w:cs="Times New Roman"/>
          <w:sz w:val="24"/>
          <w:szCs w:val="24"/>
          <w:lang w:val="en-GB" w:eastAsia="en-US"/>
        </w:rPr>
        <w:t>g</w:t>
      </w:r>
      <w:r>
        <w:rPr>
          <w:rFonts w:ascii="Times New Roman" w:eastAsia="Times New Roman" w:hAnsi="Times New Roman" w:cs="Times New Roman"/>
          <w:sz w:val="24"/>
          <w:szCs w:val="24"/>
          <w:lang w:val="lv-LV" w:eastAsia="en-US"/>
        </w:rPr>
        <w:t xml:space="preserve"> in Latvia, as well as in </w:t>
      </w:r>
      <w:r>
        <w:rPr>
          <w:rFonts w:ascii="Times New Roman" w:eastAsia="Times New Roman" w:hAnsi="Times New Roman" w:cs="Times New Roman"/>
          <w:sz w:val="24"/>
          <w:szCs w:val="24"/>
          <w:lang w:val="en-GB" w:eastAsia="en-US"/>
        </w:rPr>
        <w:t>o</w:t>
      </w:r>
      <w:r>
        <w:rPr>
          <w:rFonts w:ascii="Times New Roman" w:eastAsia="Times New Roman" w:hAnsi="Times New Roman" w:cs="Times New Roman"/>
          <w:sz w:val="24"/>
          <w:szCs w:val="24"/>
          <w:lang w:val="lv-LV" w:eastAsia="en-US"/>
        </w:rPr>
        <w:t>ther states is subject to the Criminal</w:t>
      </w:r>
      <w:r>
        <w:rPr>
          <w:rFonts w:ascii="Times New Roman" w:eastAsia="Times New Roman" w:hAnsi="Times New Roman" w:cs="Times New Roman"/>
          <w:sz w:val="24"/>
          <w:szCs w:val="24"/>
          <w:lang w:val="en-GB" w:eastAsia="en-US"/>
        </w:rPr>
        <w:t xml:space="preserve">, thus money laundering is a criminalized activity and natural persons are held liable for the activity under the national criminal law. In Latvian national legislation </w:t>
      </w:r>
      <w:r>
        <w:rPr>
          <w:rFonts w:ascii="Times New Roman" w:eastAsia="Times New Roman" w:hAnsi="Times New Roman" w:cs="Times New Roman"/>
          <w:sz w:val="24"/>
          <w:szCs w:val="24"/>
          <w:lang w:val="lv-LV" w:eastAsia="en-US"/>
        </w:rPr>
        <w:t>Section 195</w:t>
      </w:r>
      <w:r>
        <w:rPr>
          <w:rFonts w:ascii="Times New Roman" w:eastAsia="Times New Roman" w:hAnsi="Times New Roman" w:cs="Times New Roman"/>
          <w:sz w:val="24"/>
          <w:szCs w:val="24"/>
          <w:lang w:val="en-GB" w:eastAsia="en-US"/>
        </w:rPr>
        <w:t xml:space="preserve"> of the Criminal Law of Latvia is the one that establishes a criminal liabil</w:t>
      </w:r>
      <w:r>
        <w:rPr>
          <w:rFonts w:ascii="Times New Roman" w:eastAsia="Times New Roman" w:hAnsi="Times New Roman" w:cs="Times New Roman"/>
          <w:sz w:val="24"/>
          <w:szCs w:val="24"/>
          <w:lang w:val="en-GB" w:eastAsia="en-US"/>
        </w:rPr>
        <w:t>ity for a person committing money laundering</w:t>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 xml:space="preserve">It states that </w:t>
      </w:r>
    </w:p>
    <w:p w:rsidR="003540B4" w:rsidRDefault="008C0147">
      <w:pPr>
        <w:pStyle w:val="RGSLQuote"/>
        <w:spacing w:line="240" w:lineRule="auto"/>
        <w:jc w:val="both"/>
        <w:rPr>
          <w:rFonts w:ascii="Times New Roman" w:eastAsia="Times New Roman" w:hAnsi="Times New Roman" w:cs="Times New Roman"/>
          <w:szCs w:val="24"/>
          <w:lang w:eastAsia="en-US"/>
        </w:rPr>
      </w:pPr>
      <w:r>
        <w:rPr>
          <w:rFonts w:ascii="Times New Roman" w:eastAsia="Times New Roman" w:hAnsi="Times New Roman" w:cs="Times New Roman"/>
          <w:szCs w:val="24"/>
          <w:lang w:eastAsia="en-US"/>
        </w:rPr>
        <w:t>For a person who commits laundering of criminally acquired financial resources or other property,the applicable punishment is the deprivation of liberty for a period of up to four years or tempo</w:t>
      </w:r>
      <w:r>
        <w:rPr>
          <w:rFonts w:ascii="Times New Roman" w:eastAsia="Times New Roman" w:hAnsi="Times New Roman" w:cs="Times New Roman"/>
          <w:szCs w:val="24"/>
          <w:lang w:eastAsia="en-US"/>
        </w:rPr>
        <w:t>rary deprivation of liberty, or community service, or a fine, with or without the confiscation of property.</w:t>
      </w:r>
    </w:p>
    <w:p w:rsidR="003540B4" w:rsidRDefault="008C0147">
      <w:pPr>
        <w:pStyle w:val="RGSLQuote"/>
        <w:spacing w:line="240" w:lineRule="auto"/>
        <w:jc w:val="both"/>
        <w:rPr>
          <w:rFonts w:ascii="Times New Roman" w:eastAsia="Times New Roman" w:hAnsi="Times New Roman" w:cs="Times New Roman"/>
          <w:szCs w:val="24"/>
          <w:lang w:eastAsia="en-US"/>
        </w:rPr>
      </w:pPr>
      <w:r>
        <w:rPr>
          <w:rFonts w:ascii="Times New Roman" w:eastAsia="Times New Roman" w:hAnsi="Times New Roman" w:cs="Times New Roman"/>
          <w:szCs w:val="24"/>
          <w:lang w:eastAsia="en-US"/>
        </w:rPr>
        <w:t xml:space="preserve">For the commission of the same acts, if they have been committed by a group of persons according to a prior agreement,the applicable punishment is </w:t>
      </w:r>
      <w:r>
        <w:rPr>
          <w:rFonts w:ascii="Times New Roman" w:eastAsia="Times New Roman" w:hAnsi="Times New Roman" w:cs="Times New Roman"/>
          <w:szCs w:val="24"/>
          <w:lang w:eastAsia="en-US"/>
        </w:rPr>
        <w:t>the deprivation of liberty for a period of up to five years or temporary deprivation of liberty, or community service, or a fine, with or without the confiscation of property.</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(3) For a person who commits the acts provided for by Paragraph one of this Sect</w:t>
      </w:r>
      <w:r>
        <w:rPr>
          <w:rFonts w:ascii="Times New Roman" w:eastAsia="Times New Roman" w:hAnsi="Times New Roman" w:cs="Times New Roman"/>
          <w:szCs w:val="24"/>
          <w:lang w:eastAsia="en-US"/>
        </w:rPr>
        <w:t>ion, if they have been committed on a large scale, or if they have been committed by an organised group,the applicable punishment is deprivation of liberty for a period of three and up to twelve years, with or without confiscation of property and with or w</w:t>
      </w:r>
      <w:r>
        <w:rPr>
          <w:rFonts w:ascii="Times New Roman" w:eastAsia="Times New Roman" w:hAnsi="Times New Roman" w:cs="Times New Roman"/>
          <w:szCs w:val="24"/>
          <w:lang w:eastAsia="en-US"/>
        </w:rPr>
        <w:t>ithout probationary supervision for a period up to three years</w:t>
      </w:r>
      <w:r>
        <w:rPr>
          <w:rFonts w:ascii="Times New Roman" w:eastAsia="Times New Roman" w:hAnsi="Times New Roman" w:cs="Times New Roman"/>
          <w:szCs w:val="24"/>
          <w:vertAlign w:val="superscript"/>
          <w:lang w:val="fr-FR" w:eastAsia="en-US"/>
        </w:rPr>
        <w:footnoteReference w:id="72"/>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Thus establishing as punishment: deprivation of liberty, community service, fine ( with or without confiscation of property with additional option for a probationary supervision period in case</w:t>
      </w:r>
      <w:r>
        <w:rPr>
          <w:rFonts w:ascii="Times New Roman" w:eastAsia="Times New Roman" w:hAnsi="Times New Roman" w:cs="Times New Roman"/>
          <w:sz w:val="24"/>
          <w:szCs w:val="24"/>
          <w:lang w:val="en-GB" w:eastAsia="en-US"/>
        </w:rPr>
        <w:t xml:space="preserve"> of large scale or an organised action. As well as establishes subjects of the norm separating the scale of punishment on the basis of actions made by the person ( whether the action has been performed by one person solely or it was a pre-organised crime).</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 xml:space="preserve">For the purposes of interpretation of this section of the law </w:t>
      </w:r>
      <w:r>
        <w:rPr>
          <w:rFonts w:ascii="Times New Roman" w:eastAsia="Times New Roman" w:hAnsi="Times New Roman" w:cs="Times New Roman"/>
          <w:sz w:val="24"/>
          <w:szCs w:val="24"/>
          <w:lang w:val="lv-LV" w:eastAsia="en-US"/>
        </w:rPr>
        <w:t xml:space="preserve">the term “financial resources” is </w:t>
      </w:r>
      <w:r>
        <w:rPr>
          <w:rFonts w:ascii="Times New Roman" w:eastAsia="Times New Roman" w:hAnsi="Times New Roman" w:cs="Times New Roman"/>
          <w:sz w:val="24"/>
          <w:szCs w:val="24"/>
          <w:lang w:val="en-GB" w:eastAsia="en-US"/>
        </w:rPr>
        <w:t xml:space="preserve">being given definition </w:t>
      </w:r>
      <w:r>
        <w:rPr>
          <w:rFonts w:ascii="Times New Roman" w:eastAsia="Times New Roman" w:hAnsi="Times New Roman" w:cs="Times New Roman"/>
          <w:sz w:val="24"/>
          <w:szCs w:val="24"/>
          <w:lang w:val="lv-LV" w:eastAsia="en-US"/>
        </w:rPr>
        <w:t>in the Law on Prevention of Money Laundering and Terrorism Proliferation and Terrorism and Proliferation Financing</w:t>
      </w:r>
      <w:r>
        <w:rPr>
          <w:rFonts w:ascii="Times New Roman" w:eastAsia="Times New Roman" w:hAnsi="Times New Roman" w:cs="Times New Roman"/>
          <w:sz w:val="24"/>
          <w:szCs w:val="24"/>
          <w:vertAlign w:val="superscript"/>
          <w:lang w:val="lv-LV" w:eastAsia="en-US"/>
        </w:rPr>
        <w:footnoteReference w:id="73"/>
      </w:r>
      <w:r>
        <w:rPr>
          <w:rFonts w:ascii="Times New Roman" w:eastAsia="Times New Roman" w:hAnsi="Times New Roman" w:cs="Times New Roman"/>
          <w:sz w:val="24"/>
          <w:szCs w:val="24"/>
          <w:lang w:val="lv-LV" w:eastAsia="en-US"/>
        </w:rPr>
        <w:t xml:space="preserve"> and term </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lv-LV" w:eastAsia="en-US"/>
        </w:rPr>
        <w:t>property</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lv-LV" w:eastAsia="en-US"/>
        </w:rPr>
        <w:t xml:space="preserve"> has been defined in COUNCIL DIRECTIVE of 10 June 1991 on prevention of the use of the financial system for the purpose of money laundering (91/308/EEC)</w:t>
      </w:r>
      <w:r>
        <w:rPr>
          <w:rFonts w:ascii="Times New Roman" w:eastAsia="Times New Roman" w:hAnsi="Times New Roman" w:cs="Times New Roman"/>
          <w:sz w:val="24"/>
          <w:szCs w:val="24"/>
          <w:vertAlign w:val="superscript"/>
          <w:lang w:val="lv-LV" w:eastAsia="en-US"/>
        </w:rPr>
        <w:footnoteReference w:id="74"/>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lv-LV" w:eastAsia="en-US"/>
        </w:rPr>
        <w:t xml:space="preserve">For the purposes of applicability of this article participation of a person is a </w:t>
      </w:r>
      <w:r>
        <w:rPr>
          <w:rFonts w:ascii="Times New Roman" w:eastAsia="Times New Roman" w:hAnsi="Times New Roman" w:cs="Times New Roman"/>
          <w:sz w:val="24"/>
          <w:szCs w:val="24"/>
          <w:lang w:val="en-GB" w:eastAsia="en-US"/>
        </w:rPr>
        <w:t>necessary</w:t>
      </w:r>
      <w:r>
        <w:rPr>
          <w:rFonts w:ascii="Times New Roman" w:eastAsia="Times New Roman" w:hAnsi="Times New Roman" w:cs="Times New Roman"/>
          <w:sz w:val="24"/>
          <w:szCs w:val="24"/>
          <w:lang w:val="lv-LV" w:eastAsia="en-US"/>
        </w:rPr>
        <w:t xml:space="preserve"> requiremen</w:t>
      </w:r>
      <w:r>
        <w:rPr>
          <w:rFonts w:ascii="Times New Roman" w:eastAsia="Times New Roman" w:hAnsi="Times New Roman" w:cs="Times New Roman"/>
          <w:sz w:val="24"/>
          <w:szCs w:val="24"/>
          <w:lang w:val="lv-LV" w:eastAsia="en-US"/>
        </w:rPr>
        <w:t xml:space="preserve">t no matter whether it was a direct or an indirect participation </w:t>
      </w:r>
      <w:r>
        <w:rPr>
          <w:rFonts w:ascii="Times New Roman" w:eastAsia="Times New Roman" w:hAnsi="Times New Roman" w:cs="Times New Roman"/>
          <w:sz w:val="24"/>
          <w:szCs w:val="24"/>
          <w:lang w:val="en-GB" w:eastAsia="en-US"/>
        </w:rPr>
        <w:t xml:space="preserve">in </w:t>
      </w:r>
      <w:r>
        <w:rPr>
          <w:rFonts w:ascii="Times New Roman" w:eastAsia="Times New Roman" w:hAnsi="Times New Roman" w:cs="Times New Roman"/>
          <w:sz w:val="24"/>
          <w:szCs w:val="24"/>
          <w:lang w:val="lv-LV" w:eastAsia="en-US"/>
        </w:rPr>
        <w:t xml:space="preserve">the money laundering scheme. Besides the acknowledgement of the illicit origin of property or funds is a </w:t>
      </w:r>
      <w:r>
        <w:rPr>
          <w:rFonts w:ascii="Times New Roman" w:eastAsia="Times New Roman" w:hAnsi="Times New Roman" w:cs="Times New Roman"/>
          <w:sz w:val="24"/>
          <w:szCs w:val="24"/>
          <w:lang w:val="en-GB" w:eastAsia="en-US"/>
        </w:rPr>
        <w:t>required</w:t>
      </w:r>
      <w:r>
        <w:rPr>
          <w:rFonts w:ascii="Times New Roman" w:eastAsia="Times New Roman" w:hAnsi="Times New Roman" w:cs="Times New Roman"/>
          <w:sz w:val="24"/>
          <w:szCs w:val="24"/>
          <w:lang w:val="lv-LV" w:eastAsia="en-US"/>
        </w:rPr>
        <w:t>, thus leading to the fact that the person has purposefully taken an action</w:t>
      </w:r>
      <w:r>
        <w:rPr>
          <w:rFonts w:ascii="Times New Roman" w:eastAsia="Times New Roman" w:hAnsi="Times New Roman" w:cs="Times New Roman"/>
          <w:sz w:val="24"/>
          <w:szCs w:val="24"/>
          <w:lang w:val="lv-LV" w:eastAsia="en-US"/>
        </w:rPr>
        <w:t xml:space="preserve"> to disguise the illeg</w:t>
      </w:r>
      <w:r>
        <w:rPr>
          <w:rFonts w:ascii="Times New Roman" w:eastAsia="Times New Roman" w:hAnsi="Times New Roman" w:cs="Times New Roman"/>
          <w:sz w:val="24"/>
          <w:szCs w:val="24"/>
          <w:lang w:val="en-GB" w:eastAsia="en-US"/>
        </w:rPr>
        <w:t>al</w:t>
      </w:r>
      <w:r>
        <w:rPr>
          <w:rFonts w:ascii="Times New Roman" w:eastAsia="Times New Roman" w:hAnsi="Times New Roman" w:cs="Times New Roman"/>
          <w:sz w:val="24"/>
          <w:szCs w:val="24"/>
          <w:lang w:val="lv-LV" w:eastAsia="en-US"/>
        </w:rPr>
        <w:t xml:space="preserve"> essenc</w:t>
      </w:r>
      <w:r>
        <w:rPr>
          <w:rFonts w:ascii="Times New Roman" w:eastAsia="Times New Roman" w:hAnsi="Times New Roman" w:cs="Times New Roman"/>
          <w:sz w:val="24"/>
          <w:szCs w:val="24"/>
          <w:lang w:val="en-GB" w:eastAsia="en-US"/>
        </w:rPr>
        <w:t>e</w:t>
      </w:r>
      <w:r>
        <w:rPr>
          <w:rFonts w:ascii="Times New Roman" w:eastAsia="Times New Roman" w:hAnsi="Times New Roman" w:cs="Times New Roman"/>
          <w:sz w:val="24"/>
          <w:szCs w:val="24"/>
          <w:lang w:val="lv-LV" w:eastAsia="en-US"/>
        </w:rPr>
        <w:t xml:space="preserve"> of the subject of money laundering, thus</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consciously</w:t>
      </w:r>
      <w:r>
        <w:rPr>
          <w:rFonts w:ascii="Times New Roman" w:eastAsia="Times New Roman" w:hAnsi="Times New Roman" w:cs="Times New Roman"/>
          <w:sz w:val="24"/>
          <w:szCs w:val="24"/>
          <w:lang w:val="lv-LV" w:eastAsia="en-US"/>
        </w:rPr>
        <w:t xml:space="preserve"> breached the law. Under Criminal Law of Latvia the subject of the legal norm is a </w:t>
      </w:r>
    </w:p>
    <w:p w:rsidR="003540B4" w:rsidRDefault="008C0147">
      <w:pPr>
        <w:pStyle w:val="RGSLQuotes"/>
        <w:rPr>
          <w:rFonts w:eastAsia="Times New Roman" w:cs="Times New Roman"/>
          <w:sz w:val="22"/>
          <w:szCs w:val="24"/>
          <w:lang w:val="lv-LV" w:eastAsia="en-US"/>
        </w:rPr>
      </w:pPr>
      <w:r>
        <w:rPr>
          <w:rFonts w:eastAsia="Times New Roman" w:cs="Times New Roman"/>
          <w:sz w:val="22"/>
          <w:szCs w:val="24"/>
          <w:lang w:val="en-GB" w:eastAsia="en-US"/>
        </w:rPr>
        <w:t xml:space="preserve">a natural person or a comparable person himself or a person who has committed another </w:t>
      </w:r>
      <w:r>
        <w:rPr>
          <w:rFonts w:eastAsia="Times New Roman" w:cs="Times New Roman"/>
          <w:sz w:val="22"/>
          <w:szCs w:val="24"/>
          <w:lang w:val="en-GB" w:eastAsia="en-US"/>
        </w:rPr>
        <w:t>criminal offence, who performed or conducted an omission of criminal activity as also as predicate offence on that day being of the age at which a person may be called to criminal liability</w:t>
      </w:r>
      <w:r>
        <w:rPr>
          <w:rFonts w:eastAsia="Times New Roman" w:cs="Times New Roman"/>
          <w:sz w:val="22"/>
          <w:szCs w:val="24"/>
          <w:vertAlign w:val="superscript"/>
          <w:lang w:val="en-GB" w:eastAsia="en-US"/>
        </w:rPr>
        <w:footnoteReference w:id="75"/>
      </w:r>
    </w:p>
    <w:p w:rsidR="003540B4" w:rsidRDefault="008C0147">
      <w:pPr>
        <w:pStyle w:val="RGSLNormal"/>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Under Latvian Criminal law a person may be held criminal liable f</w:t>
      </w:r>
      <w:r>
        <w:rPr>
          <w:rFonts w:ascii="Times New Roman" w:eastAsia="Times New Roman" w:hAnsi="Times New Roman" w:cs="Times New Roman"/>
          <w:sz w:val="24"/>
          <w:szCs w:val="24"/>
          <w:lang w:val="en-GB" w:eastAsia="en-US"/>
        </w:rPr>
        <w:t>rom the day of becoming fourteen years old. As u</w:t>
      </w:r>
      <w:r>
        <w:rPr>
          <w:rFonts w:ascii="Times New Roman" w:eastAsia="Times New Roman" w:hAnsi="Times New Roman" w:cs="Times New Roman"/>
          <w:sz w:val="24"/>
          <w:szCs w:val="24"/>
          <w:lang w:val="lv-LV" w:eastAsia="en-US"/>
        </w:rPr>
        <w:t xml:space="preserve">nder section 11 of the identified law </w:t>
      </w:r>
      <w:r>
        <w:rPr>
          <w:rFonts w:ascii="Times New Roman" w:eastAsia="Times New Roman" w:hAnsi="Times New Roman" w:cs="Times New Roman"/>
          <w:sz w:val="24"/>
          <w:szCs w:val="24"/>
          <w:lang w:val="en-GB" w:eastAsia="en-US"/>
        </w:rPr>
        <w:t xml:space="preserve">the subject </w:t>
      </w:r>
      <w:r>
        <w:rPr>
          <w:rFonts w:ascii="Times New Roman" w:eastAsia="Times New Roman" w:hAnsi="Times New Roman" w:cs="Times New Roman"/>
          <w:sz w:val="24"/>
          <w:szCs w:val="24"/>
          <w:lang w:val="lv-LV" w:eastAsia="en-US"/>
        </w:rPr>
        <w:t xml:space="preserve">it is </w:t>
      </w:r>
    </w:p>
    <w:p w:rsidR="003540B4" w:rsidRDefault="008C0147">
      <w:pPr>
        <w:pStyle w:val="RGSLQuote"/>
        <w:spacing w:line="240" w:lineRule="auto"/>
        <w:jc w:val="both"/>
        <w:rPr>
          <w:rFonts w:ascii="Times New Roman" w:eastAsia="Times New Roman" w:hAnsi="Times New Roman" w:cs="Times New Roman"/>
          <w:szCs w:val="24"/>
          <w:lang w:val="lv-LV" w:eastAsia="en-US"/>
        </w:rPr>
      </w:pPr>
      <w:r>
        <w:rPr>
          <w:rFonts w:ascii="Times New Roman" w:eastAsia="Times New Roman" w:hAnsi="Times New Roman" w:cs="Times New Roman"/>
          <w:szCs w:val="24"/>
          <w:lang w:val="en-GB" w:eastAsia="en-US"/>
        </w:rPr>
        <w:t>A natural person who, on the day of the commission of a criminal offence, has attained fourteen years of age may be held criminally liable. An underage</w:t>
      </w:r>
      <w:r>
        <w:rPr>
          <w:rFonts w:ascii="Times New Roman" w:eastAsia="Times New Roman" w:hAnsi="Times New Roman" w:cs="Times New Roman"/>
          <w:szCs w:val="24"/>
          <w:lang w:val="en-GB" w:eastAsia="en-US"/>
        </w:rPr>
        <w:t>d person, that is, a person who has not attained fourteen years of age, may not be held criminally liable.</w:t>
      </w:r>
      <w:r>
        <w:rPr>
          <w:rFonts w:ascii="Times New Roman" w:eastAsia="Times New Roman" w:hAnsi="Times New Roman" w:cs="Times New Roman"/>
          <w:szCs w:val="24"/>
          <w:vertAlign w:val="superscript"/>
          <w:lang w:val="en-GB" w:eastAsia="en-US"/>
        </w:rPr>
        <w:footnoteReference w:id="76"/>
      </w:r>
    </w:p>
    <w:p w:rsidR="003540B4" w:rsidRDefault="008C0147">
      <w:pPr>
        <w:rPr>
          <w:rFonts w:ascii="Times New Roman" w:eastAsiaTheme="majorEastAsia" w:hAnsi="Times New Roman"/>
          <w:color w:val="000000" w:themeColor="text1"/>
          <w:lang w:val="lv-LV" w:eastAsia="ru-RU"/>
        </w:rPr>
      </w:pPr>
      <w:bookmarkStart w:id="29" w:name="_Toc21086"/>
      <w:r>
        <w:rPr>
          <w:rFonts w:ascii="Times New Roman" w:eastAsiaTheme="majorEastAsia" w:hAnsi="Times New Roman"/>
          <w:color w:val="000000" w:themeColor="text1"/>
          <w:lang w:val="lv-LV" w:eastAsia="ru-RU"/>
        </w:rPr>
        <w:br w:type="page"/>
      </w:r>
    </w:p>
    <w:p w:rsidR="003540B4" w:rsidRDefault="008C0147">
      <w:pPr>
        <w:pStyle w:val="RGSLheading11"/>
        <w:numPr>
          <w:ilvl w:val="0"/>
          <w:numId w:val="0"/>
        </w:numPr>
        <w:spacing w:line="240" w:lineRule="auto"/>
        <w:ind w:left="567" w:right="709"/>
        <w:rPr>
          <w:rFonts w:ascii="Times New Roman" w:eastAsiaTheme="majorEastAsia" w:hAnsi="Times New Roman" w:hint="default"/>
          <w:color w:val="000000" w:themeColor="text1"/>
          <w:lang w:val="en-GB" w:eastAsia="ru-RU"/>
        </w:rPr>
      </w:pPr>
      <w:r>
        <w:rPr>
          <w:rFonts w:ascii="Times New Roman" w:eastAsiaTheme="majorEastAsia" w:hAnsi="Times New Roman" w:hint="default"/>
          <w:color w:val="000000" w:themeColor="text1"/>
          <w:lang w:val="lv-LV" w:eastAsia="ru-RU"/>
        </w:rPr>
        <w:t>4</w:t>
      </w:r>
      <w:r>
        <w:rPr>
          <w:rFonts w:ascii="Times New Roman" w:eastAsiaTheme="majorEastAsia" w:hAnsi="Times New Roman"/>
          <w:color w:val="000000" w:themeColor="text1"/>
          <w:lang w:val="en-GB" w:eastAsia="ru-RU"/>
        </w:rPr>
        <w:t>.Beneficial owner identification process in the scope of legal form of business</w:t>
      </w:r>
      <w:bookmarkEnd w:id="29"/>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Depending on the legal form of business the identification of the</w:t>
      </w:r>
      <w:r>
        <w:rPr>
          <w:rFonts w:ascii="Times New Roman" w:eastAsia="Times New Roman" w:hAnsi="Times New Roman" w:cs="Times New Roman"/>
          <w:sz w:val="24"/>
          <w:szCs w:val="24"/>
          <w:lang w:val="lv-LV" w:eastAsia="en-US"/>
        </w:rPr>
        <w:t xml:space="preserve"> beneficial owner process might differ</w:t>
      </w:r>
      <w:r>
        <w:rPr>
          <w:rFonts w:ascii="Times New Roman" w:eastAsia="Times New Roman" w:hAnsi="Times New Roman" w:cs="Times New Roman"/>
          <w:sz w:val="24"/>
          <w:szCs w:val="24"/>
          <w:lang w:val="en-GB" w:eastAsia="en-US"/>
        </w:rPr>
        <w:t xml:space="preserve"> as well as the person who is considered as such may differ. It is necessary thus to highlight that there is no one specific rule regarding who is the beneficial owner and it shall be researched on the case by case bas</w:t>
      </w:r>
      <w:r>
        <w:rPr>
          <w:rFonts w:ascii="Times New Roman" w:eastAsia="Times New Roman" w:hAnsi="Times New Roman" w:cs="Times New Roman"/>
          <w:sz w:val="24"/>
          <w:szCs w:val="24"/>
          <w:lang w:val="en-GB" w:eastAsia="en-US"/>
        </w:rPr>
        <w:t xml:space="preserve">is. Even thought there is a common legal definition  there exists a possibility that the beneficial owner fitting within the legal definition will not be the ultimate beneficial owner, as the legal person or organisation will be working for the benefit of </w:t>
      </w:r>
      <w:r>
        <w:rPr>
          <w:rFonts w:ascii="Times New Roman" w:eastAsia="Times New Roman" w:hAnsi="Times New Roman" w:cs="Times New Roman"/>
          <w:sz w:val="24"/>
          <w:szCs w:val="24"/>
          <w:lang w:val="en-GB" w:eastAsia="en-US"/>
        </w:rPr>
        <w:t>another natural person and the link will not be easily identifiable and following research will be required. In case of the “</w:t>
      </w:r>
      <w:r>
        <w:rPr>
          <w:rFonts w:ascii="Times New Roman" w:eastAsia="Times New Roman" w:hAnsi="Times New Roman" w:cs="Times New Roman"/>
          <w:sz w:val="24"/>
          <w:szCs w:val="24"/>
          <w:lang w:eastAsia="en-US"/>
        </w:rPr>
        <w:t> individual transaction</w:t>
      </w:r>
      <w:r>
        <w:rPr>
          <w:rFonts w:ascii="Times New Roman" w:eastAsia="Times New Roman" w:hAnsi="Times New Roman" w:cs="Times New Roman"/>
          <w:sz w:val="24"/>
          <w:szCs w:val="24"/>
          <w:lang w:val="en-GB" w:eastAsia="en-US"/>
        </w:rPr>
        <w:t>” mentioned in the Law on Prevention of Money Laundering in the section 1 sub-section 5 regarding the benefi</w:t>
      </w:r>
      <w:r>
        <w:rPr>
          <w:rFonts w:ascii="Times New Roman" w:eastAsia="Times New Roman" w:hAnsi="Times New Roman" w:cs="Times New Roman"/>
          <w:sz w:val="24"/>
          <w:szCs w:val="24"/>
          <w:lang w:val="en-GB" w:eastAsia="en-US"/>
        </w:rPr>
        <w:t xml:space="preserve">cial owner definition it is probably meant for the cases of the beneficial owner of such transaction, but not the overall performance of such legal person or arrangement if that single transaction is not a purpose of creation of such business. Yet in this </w:t>
      </w:r>
      <w:r>
        <w:rPr>
          <w:rFonts w:ascii="Times New Roman" w:eastAsia="Times New Roman" w:hAnsi="Times New Roman" w:cs="Times New Roman"/>
          <w:sz w:val="24"/>
          <w:szCs w:val="24"/>
          <w:lang w:val="en-GB" w:eastAsia="en-US"/>
        </w:rPr>
        <w:t xml:space="preserve">case it shall be reviewed as well on the case by case basis.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30" w:name="_Toc10373"/>
      <w:r>
        <w:rPr>
          <w:rFonts w:ascii="Times New Roman" w:eastAsiaTheme="majorEastAsia" w:hAnsi="Times New Roman" w:hint="default"/>
          <w:color w:val="000000" w:themeColor="text1"/>
          <w:lang w:val="lv-LV" w:eastAsia="ru-RU"/>
        </w:rPr>
        <w:t>4.1.</w:t>
      </w:r>
      <w:r>
        <w:rPr>
          <w:rFonts w:ascii="Times New Roman" w:eastAsiaTheme="majorEastAsia" w:hAnsi="Times New Roman"/>
          <w:color w:val="000000" w:themeColor="text1"/>
          <w:lang w:val="en-GB" w:eastAsia="ru-RU"/>
        </w:rPr>
        <w:t xml:space="preserve"> Capital Company</w:t>
      </w:r>
      <w:bookmarkEnd w:id="30"/>
      <w:r>
        <w:rPr>
          <w:rFonts w:ascii="Times New Roman" w:eastAsiaTheme="majorEastAsia" w:hAnsi="Times New Roman"/>
          <w:color w:val="000000" w:themeColor="text1"/>
          <w:lang w:val="en-GB" w:eastAsia="ru-RU"/>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In case of a capital company</w:t>
      </w:r>
      <w:r>
        <w:rPr>
          <w:rFonts w:ascii="Times New Roman" w:eastAsia="Times New Roman" w:hAnsi="Times New Roman" w:cs="Times New Roman"/>
          <w:sz w:val="24"/>
          <w:szCs w:val="24"/>
          <w:lang w:val="en-GB" w:eastAsia="en-US"/>
        </w:rPr>
        <w:t>, which is defined in S</w:t>
      </w:r>
      <w:r>
        <w:rPr>
          <w:rFonts w:ascii="Times New Roman" w:eastAsia="Times New Roman" w:hAnsi="Times New Roman" w:cs="Times New Roman"/>
          <w:sz w:val="24"/>
          <w:szCs w:val="24"/>
          <w:lang w:val="lv-LV" w:eastAsia="en-US"/>
        </w:rPr>
        <w:t>ection 134 of the Commercial Law of Latvia</w:t>
      </w:r>
      <w:r>
        <w:rPr>
          <w:rFonts w:ascii="Times New Roman" w:eastAsia="Times New Roman" w:hAnsi="Times New Roman" w:cs="Times New Roman"/>
          <w:sz w:val="24"/>
          <w:szCs w:val="24"/>
          <w:lang w:val="en-GB" w:eastAsia="en-US"/>
        </w:rPr>
        <w:t xml:space="preserve"> as :</w:t>
      </w:r>
    </w:p>
    <w:p w:rsidR="003540B4" w:rsidRDefault="008C0147">
      <w:pPr>
        <w:pStyle w:val="RGSLQuote"/>
        <w:spacing w:line="240" w:lineRule="auto"/>
        <w:jc w:val="both"/>
        <w:rPr>
          <w:rFonts w:ascii="Times New Roman" w:eastAsia="Times New Roman" w:hAnsi="Times New Roman" w:cs="Times New Roman"/>
          <w:szCs w:val="24"/>
          <w:lang w:val="lv-LV" w:eastAsia="en-US"/>
        </w:rPr>
      </w:pPr>
      <w:r>
        <w:rPr>
          <w:rFonts w:ascii="Times New Roman" w:eastAsia="Times New Roman" w:hAnsi="Times New Roman" w:cs="Times New Roman"/>
          <w:szCs w:val="24"/>
          <w:lang w:val="fr-FR" w:eastAsia="en-US"/>
        </w:rPr>
        <w:t>a commercial company, the equity capital of which consists of the total s</w:t>
      </w:r>
      <w:r>
        <w:rPr>
          <w:rFonts w:ascii="Times New Roman" w:eastAsia="Times New Roman" w:hAnsi="Times New Roman" w:cs="Times New Roman"/>
          <w:szCs w:val="24"/>
          <w:lang w:val="fr-FR" w:eastAsia="en-US"/>
        </w:rPr>
        <w:t>um of the nominal value of equity capital shares or stock (hereinafter in this Division - the shares)</w:t>
      </w:r>
      <w:r>
        <w:rPr>
          <w:rStyle w:val="FootnoteReference"/>
          <w:rFonts w:ascii="Times New Roman" w:eastAsia="Times New Roman" w:hAnsi="Times New Roman" w:cs="Times New Roman"/>
          <w:szCs w:val="24"/>
          <w:lang w:val="fr-FR" w:eastAsia="en-US"/>
        </w:rPr>
        <w:footnoteReference w:id="77"/>
      </w:r>
      <w:r>
        <w:rPr>
          <w:rFonts w:ascii="Times New Roman" w:eastAsia="Times New Roman" w:hAnsi="Times New Roman" w:cs="Times New Roman"/>
          <w:szCs w:val="24"/>
          <w:lang w:val="fr-FR" w:eastAsia="en-US"/>
        </w:rPr>
        <w:t>.</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It should be also mentioned that within that definition there is a separation between a</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limited liability company and a stock company.</w:t>
      </w:r>
    </w:p>
    <w:p w:rsidR="003540B4" w:rsidRDefault="008C0147">
      <w:pPr>
        <w:pStyle w:val="RGSLNormalwithindentation"/>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val="en-GB" w:eastAsia="en-US"/>
        </w:rPr>
        <w:t xml:space="preserve">If the legal </w:t>
      </w:r>
      <w:r>
        <w:rPr>
          <w:rFonts w:ascii="Times New Roman" w:eastAsia="Times New Roman" w:hAnsi="Times New Roman" w:cs="Times New Roman"/>
          <w:sz w:val="24"/>
          <w:szCs w:val="24"/>
          <w:lang w:val="en-GB" w:eastAsia="en-US"/>
        </w:rPr>
        <w:t>person is fitting within previously cited definition, then the</w:t>
      </w:r>
      <w:r>
        <w:rPr>
          <w:rFonts w:ascii="Times New Roman" w:eastAsia="Times New Roman" w:hAnsi="Times New Roman" w:cs="Times New Roman"/>
          <w:sz w:val="24"/>
          <w:szCs w:val="24"/>
          <w:lang w:val="lv-LV" w:eastAsia="en-US"/>
        </w:rPr>
        <w:t xml:space="preserve"> beneficial owner is easily identifiable by implementing the 25% threshold rule and researching the direct and indirect ownership structure of the organisation and recognition of whether the own</w:t>
      </w:r>
      <w:r>
        <w:rPr>
          <w:rFonts w:ascii="Times New Roman" w:eastAsia="Times New Roman" w:hAnsi="Times New Roman" w:cs="Times New Roman"/>
          <w:sz w:val="24"/>
          <w:szCs w:val="24"/>
          <w:lang w:val="lv-LV" w:eastAsia="en-US"/>
        </w:rPr>
        <w:t xml:space="preserve">er of 25% of shares is acting for his own or someone else benefit. Thus there can </w:t>
      </w:r>
      <w:r>
        <w:rPr>
          <w:rFonts w:ascii="Times New Roman" w:eastAsia="Times New Roman" w:hAnsi="Times New Roman" w:cs="Times New Roman"/>
          <w:sz w:val="24"/>
          <w:szCs w:val="24"/>
          <w:lang w:val="en-GB" w:eastAsia="en-US"/>
        </w:rPr>
        <w:t>b</w:t>
      </w:r>
      <w:r>
        <w:rPr>
          <w:rFonts w:ascii="Times New Roman" w:eastAsia="Times New Roman" w:hAnsi="Times New Roman" w:cs="Times New Roman"/>
          <w:sz w:val="24"/>
          <w:szCs w:val="24"/>
          <w:lang w:val="lv-LV" w:eastAsia="en-US"/>
        </w:rPr>
        <w:t xml:space="preserve">e no more than </w:t>
      </w:r>
      <w:r>
        <w:rPr>
          <w:rFonts w:ascii="Times New Roman" w:eastAsia="Times New Roman" w:hAnsi="Times New Roman" w:cs="Times New Roman"/>
          <w:sz w:val="24"/>
          <w:szCs w:val="24"/>
          <w:lang w:val="en-GB" w:eastAsia="en-US"/>
        </w:rPr>
        <w:t>3</w:t>
      </w:r>
      <w:r>
        <w:rPr>
          <w:rFonts w:ascii="Times New Roman" w:eastAsia="Times New Roman" w:hAnsi="Times New Roman" w:cs="Times New Roman"/>
          <w:sz w:val="24"/>
          <w:szCs w:val="24"/>
          <w:lang w:val="lv-LV" w:eastAsia="en-US"/>
        </w:rPr>
        <w:t xml:space="preserve"> beneficial owners of one capital company,because then each of them will be the owner of </w:t>
      </w:r>
      <w:r>
        <w:rPr>
          <w:rFonts w:ascii="Times New Roman" w:eastAsia="Times New Roman" w:hAnsi="Times New Roman" w:cs="Times New Roman"/>
          <w:sz w:val="24"/>
          <w:szCs w:val="24"/>
          <w:lang w:val="en-GB" w:eastAsia="en-US"/>
        </w:rPr>
        <w:t xml:space="preserve">more than </w:t>
      </w:r>
      <w:r>
        <w:rPr>
          <w:rFonts w:ascii="Times New Roman" w:eastAsia="Times New Roman" w:hAnsi="Times New Roman" w:cs="Times New Roman"/>
          <w:sz w:val="24"/>
          <w:szCs w:val="24"/>
          <w:lang w:val="lv-LV" w:eastAsia="en-US"/>
        </w:rPr>
        <w:t>25 percent</w:t>
      </w:r>
      <w:r>
        <w:rPr>
          <w:rFonts w:ascii="Times New Roman" w:eastAsia="Times New Roman" w:hAnsi="Times New Roman" w:cs="Times New Roman"/>
          <w:sz w:val="24"/>
          <w:szCs w:val="24"/>
          <w:lang w:val="en-GB" w:eastAsia="en-US"/>
        </w:rPr>
        <w:t>s</w:t>
      </w:r>
      <w:r>
        <w:rPr>
          <w:rFonts w:ascii="Times New Roman" w:eastAsia="Times New Roman" w:hAnsi="Times New Roman" w:cs="Times New Roman"/>
          <w:sz w:val="24"/>
          <w:szCs w:val="24"/>
          <w:lang w:val="lv-LV" w:eastAsia="en-US"/>
        </w:rPr>
        <w:t xml:space="preserve"> of shares and fit in the definition of the ben</w:t>
      </w:r>
      <w:r>
        <w:rPr>
          <w:rFonts w:ascii="Times New Roman" w:eastAsia="Times New Roman" w:hAnsi="Times New Roman" w:cs="Times New Roman"/>
          <w:sz w:val="24"/>
          <w:szCs w:val="24"/>
          <w:lang w:val="lv-LV" w:eastAsia="en-US"/>
        </w:rPr>
        <w:t>eficial owner under section 1 sub-paragraph</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 xml:space="preserve">5 part a of the </w:t>
      </w:r>
      <w:r>
        <w:rPr>
          <w:rFonts w:ascii="Times New Roman" w:eastAsia="Times New Roman" w:hAnsi="Times New Roman" w:cs="Times New Roman"/>
          <w:sz w:val="24"/>
          <w:szCs w:val="24"/>
          <w:lang w:val="en-GB" w:eastAsia="en-US"/>
        </w:rPr>
        <w:t>Law on the Prevention of Money Laundering</w:t>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and Terrorism and Proliferation Financing, which was previously cited</w:t>
      </w:r>
      <w:r>
        <w:rPr>
          <w:rFonts w:ascii="Times New Roman" w:eastAsia="Times New Roman" w:hAnsi="Times New Roman" w:cs="Times New Roman"/>
          <w:sz w:val="24"/>
          <w:szCs w:val="24"/>
          <w:lang w:val="lv-LV" w:eastAsia="en-US"/>
        </w:rPr>
        <w:t>. Although the control ove</w:t>
      </w:r>
      <w:r>
        <w:rPr>
          <w:rFonts w:ascii="Times New Roman" w:eastAsia="Times New Roman" w:hAnsi="Times New Roman" w:cs="Times New Roman"/>
          <w:sz w:val="24"/>
          <w:szCs w:val="24"/>
          <w:lang w:val="en-GB" w:eastAsia="en-US"/>
        </w:rPr>
        <w:t>r</w:t>
      </w:r>
      <w:r>
        <w:rPr>
          <w:rFonts w:ascii="Times New Roman" w:eastAsia="Times New Roman" w:hAnsi="Times New Roman" w:cs="Times New Roman"/>
          <w:sz w:val="24"/>
          <w:szCs w:val="24"/>
          <w:lang w:val="lv-LV" w:eastAsia="en-US"/>
        </w:rPr>
        <w:t xml:space="preserve"> the legal person</w:t>
      </w:r>
      <w:r>
        <w:rPr>
          <w:rFonts w:ascii="Times New Roman" w:eastAsia="Times New Roman" w:hAnsi="Times New Roman" w:cs="Times New Roman"/>
          <w:sz w:val="24"/>
          <w:szCs w:val="24"/>
          <w:lang w:val="en-GB" w:eastAsia="en-US"/>
        </w:rPr>
        <w:t xml:space="preserve"> regarding the decision making process</w:t>
      </w:r>
      <w:r>
        <w:rPr>
          <w:rFonts w:ascii="Times New Roman" w:eastAsia="Times New Roman" w:hAnsi="Times New Roman" w:cs="Times New Roman"/>
          <w:sz w:val="24"/>
          <w:szCs w:val="24"/>
          <w:lang w:val="lv-LV" w:eastAsia="en-US"/>
        </w:rPr>
        <w:t xml:space="preserve"> mi</w:t>
      </w:r>
      <w:r>
        <w:rPr>
          <w:rFonts w:ascii="Times New Roman" w:eastAsia="Times New Roman" w:hAnsi="Times New Roman" w:cs="Times New Roman"/>
          <w:sz w:val="24"/>
          <w:szCs w:val="24"/>
          <w:lang w:val="lv-LV" w:eastAsia="en-US"/>
        </w:rPr>
        <w:t>ght be exercised by other means, for example if multiple share holders agree on what they will be voting for, agree that shareholder of the largest threshold will not visit the meetings allowing shareholders with lower threshold to vote on the matter, agre</w:t>
      </w:r>
      <w:r>
        <w:rPr>
          <w:rFonts w:ascii="Times New Roman" w:eastAsia="Times New Roman" w:hAnsi="Times New Roman" w:cs="Times New Roman"/>
          <w:sz w:val="24"/>
          <w:szCs w:val="24"/>
          <w:lang w:val="lv-LV" w:eastAsia="en-US"/>
        </w:rPr>
        <w:t>eing that a certain natural person will have a unilateral right to appoint a majority of the council or board, etc</w:t>
      </w:r>
      <w:r>
        <w:rPr>
          <w:rFonts w:ascii="Times New Roman" w:eastAsia="Times New Roman" w:hAnsi="Times New Roman" w:cs="Times New Roman"/>
          <w:sz w:val="24"/>
          <w:szCs w:val="24"/>
          <w:vertAlign w:val="superscript"/>
          <w:lang w:val="lv-LV" w:eastAsia="en-US"/>
        </w:rPr>
        <w:footnoteReference w:id="78"/>
      </w:r>
      <w:r>
        <w:rPr>
          <w:rFonts w:ascii="Times New Roman" w:eastAsia="Times New Roman" w:hAnsi="Times New Roman" w:cs="Times New Roman"/>
          <w:sz w:val="24"/>
          <w:szCs w:val="24"/>
          <w:lang w:val="lv-LV" w:eastAsia="en-US"/>
        </w:rPr>
        <w:t>.</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Even though the law precisely identifies that the natural person who is holding more than 25 percent of shares is considered to be the bene</w:t>
      </w:r>
      <w:r>
        <w:rPr>
          <w:rFonts w:ascii="Times New Roman" w:eastAsia="Times New Roman" w:hAnsi="Times New Roman" w:cs="Times New Roman"/>
          <w:sz w:val="24"/>
          <w:szCs w:val="24"/>
          <w:lang w:val="en-GB" w:eastAsia="en-US"/>
        </w:rPr>
        <w:t>ficial owner it lacks the precision in other cases. For example who shall be considered the beneficial owner in case when all the shareholders have less than 25 percent of shares. Thus if there are more than 4 of them. Who shall be considered the beneficia</w:t>
      </w:r>
      <w:r>
        <w:rPr>
          <w:rFonts w:ascii="Times New Roman" w:eastAsia="Times New Roman" w:hAnsi="Times New Roman" w:cs="Times New Roman"/>
          <w:sz w:val="24"/>
          <w:szCs w:val="24"/>
          <w:lang w:val="en-GB" w:eastAsia="en-US"/>
        </w:rPr>
        <w:t xml:space="preserve">l owner? Is it the person with the largest number of shares. Shall the respective financial institution or other subject of the identified law consider that the organization is performing for his benefit?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Thus in order to avoid this type of situations, wh</w:t>
      </w:r>
      <w:r>
        <w:rPr>
          <w:rFonts w:ascii="Times New Roman" w:eastAsia="Times New Roman" w:hAnsi="Times New Roman" w:cs="Times New Roman"/>
          <w:sz w:val="24"/>
          <w:szCs w:val="24"/>
          <w:lang w:val="en-GB" w:eastAsia="en-US"/>
        </w:rPr>
        <w:t>en the legal person shall be considered without a beneficial owner. The same legal norm in section 18 clause 7 it is stated that the responsible institution that fits within the list of subjects of the Law on the Prevention of Money Laundering and is perfo</w:t>
      </w:r>
      <w:r>
        <w:rPr>
          <w:rFonts w:ascii="Times New Roman" w:eastAsia="Times New Roman" w:hAnsi="Times New Roman" w:cs="Times New Roman"/>
          <w:sz w:val="24"/>
          <w:szCs w:val="24"/>
          <w:lang w:val="en-GB" w:eastAsia="en-US"/>
        </w:rPr>
        <w:t xml:space="preserve">rming the research on the beneficial owner of the customer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eastAsia="en-US"/>
        </w:rPr>
        <w:t>may consider that the beneficial owner of a legal person or a legal arrangement is a person holding the position in the senior management body of such legal person or legal arrangement</w:t>
      </w:r>
      <w:r>
        <w:rPr>
          <w:rStyle w:val="FootnoteReference"/>
          <w:rFonts w:ascii="Times New Roman" w:eastAsia="Times New Roman" w:hAnsi="Times New Roman" w:cs="Times New Roman"/>
          <w:szCs w:val="24"/>
          <w:lang w:eastAsia="en-US"/>
        </w:rPr>
        <w:footnoteReference w:id="79"/>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Yet for the application of this article a number of conditions have to be in place. First of all, all means of determination have been exhausted and it was not possible to identify the beneficial owner by application and under the definition given in secti</w:t>
      </w:r>
      <w:r>
        <w:rPr>
          <w:rFonts w:ascii="Times New Roman" w:eastAsia="Times New Roman" w:hAnsi="Times New Roman" w:cs="Times New Roman"/>
          <w:sz w:val="24"/>
          <w:szCs w:val="24"/>
          <w:lang w:val="en-GB" w:eastAsia="en-US"/>
        </w:rPr>
        <w:t xml:space="preserve">on 1 clause 5 of the same legal norm. Following the aim of removal of any gap in the legal in Section 51 </w:t>
      </w:r>
      <w:r>
        <w:rPr>
          <w:rFonts w:ascii="Times New Roman" w:eastAsia="Times New Roman" w:hAnsi="Times New Roman" w:cs="Times New Roman"/>
          <w:sz w:val="24"/>
          <w:szCs w:val="24"/>
          <w:lang w:eastAsia="en-US"/>
        </w:rPr>
        <w:t>Accessibility of the Information Necessary for the Fulfilment of the Requirements of the Law to the Subjects of the Law and Supervisory and Control Aut</w:t>
      </w:r>
      <w:r>
        <w:rPr>
          <w:rFonts w:ascii="Times New Roman" w:eastAsia="Times New Roman" w:hAnsi="Times New Roman" w:cs="Times New Roman"/>
          <w:sz w:val="24"/>
          <w:szCs w:val="24"/>
          <w:lang w:eastAsia="en-US"/>
        </w:rPr>
        <w:t>horities from the Information Systems of the Republic of Latvia</w:t>
      </w:r>
      <w:r>
        <w:rPr>
          <w:rFonts w:ascii="Times New Roman" w:eastAsia="Times New Roman" w:hAnsi="Times New Roman" w:cs="Times New Roman"/>
          <w:sz w:val="24"/>
          <w:szCs w:val="24"/>
          <w:lang w:val="en-GB" w:eastAsia="en-US"/>
        </w:rPr>
        <w:t xml:space="preserve"> there are specified ways and resources which may be used by the subjects of the law to achieve the aim of identification of the specific natural person. Secondly, doubts that studied or resear</w:t>
      </w:r>
      <w:r>
        <w:rPr>
          <w:rFonts w:ascii="Times New Roman" w:eastAsia="Times New Roman" w:hAnsi="Times New Roman" w:cs="Times New Roman"/>
          <w:sz w:val="24"/>
          <w:szCs w:val="24"/>
          <w:lang w:val="en-GB" w:eastAsia="en-US"/>
        </w:rPr>
        <w:t>ched legal person or legal arrangement has a different beneficial owner were excluded. In other words there are no reasons to suspect that the organisation is conducting business for the benefit of another person instead of the one identified in the Enterp</w:t>
      </w:r>
      <w:r>
        <w:rPr>
          <w:rFonts w:ascii="Times New Roman" w:eastAsia="Times New Roman" w:hAnsi="Times New Roman" w:cs="Times New Roman"/>
          <w:sz w:val="24"/>
          <w:szCs w:val="24"/>
          <w:lang w:val="en-GB" w:eastAsia="en-US"/>
        </w:rPr>
        <w:t xml:space="preserve">rise Registry or the one considered to be the be the beneficial owner by application of the section 18 subsection 7. Thirdly, the activities that have taken place to determine the beneficial owner are dully justifiable and documented. Thus there has to be </w:t>
      </w:r>
      <w:r>
        <w:rPr>
          <w:rFonts w:ascii="Times New Roman" w:eastAsia="Times New Roman" w:hAnsi="Times New Roman" w:cs="Times New Roman"/>
          <w:sz w:val="24"/>
          <w:szCs w:val="24"/>
          <w:lang w:val="en-GB" w:eastAsia="en-US"/>
        </w:rPr>
        <w:t xml:space="preserve">a documentation proving that the person assigned the title of the beneficial owner by application of this section of the law shall be considered as such. </w:t>
      </w:r>
    </w:p>
    <w:p w:rsidR="003540B4" w:rsidRDefault="008C0147">
      <w:pPr>
        <w:pStyle w:val="RGSLNormalwithindentation"/>
        <w:jc w:val="both"/>
        <w:rPr>
          <w:rFonts w:ascii="Times New Roman" w:eastAsia="Calibri" w:hAnsi="Times New Roman" w:cs="Times New Roman"/>
          <w:sz w:val="24"/>
          <w:szCs w:val="24"/>
          <w:lang w:val="en-GB" w:bidi="ar"/>
        </w:rPr>
      </w:pPr>
      <w:r>
        <w:rPr>
          <w:rFonts w:ascii="Times New Roman" w:eastAsia="Times New Roman" w:hAnsi="Times New Roman" w:cs="Times New Roman"/>
          <w:sz w:val="24"/>
          <w:szCs w:val="24"/>
          <w:lang w:val="en-GB" w:eastAsia="en-US"/>
        </w:rPr>
        <w:t>Thus if in the scope of the due diligence investigation the financial institution by using the Latvia</w:t>
      </w:r>
      <w:r>
        <w:rPr>
          <w:rFonts w:ascii="Times New Roman" w:eastAsia="Times New Roman" w:hAnsi="Times New Roman" w:cs="Times New Roman"/>
          <w:sz w:val="24"/>
          <w:szCs w:val="24"/>
          <w:lang w:val="en-GB" w:eastAsia="en-US"/>
        </w:rPr>
        <w:t xml:space="preserve">n Enterprise Registry and other available resources identified in Section 51 can not identify the beneficial owner of the legal person or arrangement within the scope of persons provided in section 1 sub-section 5, by application of the identified section </w:t>
      </w:r>
      <w:r>
        <w:rPr>
          <w:rFonts w:ascii="Times New Roman" w:eastAsia="Times New Roman" w:hAnsi="Times New Roman" w:cs="Times New Roman"/>
          <w:sz w:val="24"/>
          <w:szCs w:val="24"/>
          <w:lang w:val="en-GB" w:eastAsia="en-US"/>
        </w:rPr>
        <w:t xml:space="preserve">may may register as the beneficial owner a natural person holding the position in the senior management body of the legal person or arrangement. </w:t>
      </w:r>
      <w:r>
        <w:rPr>
          <w:rFonts w:ascii="Times New Roman" w:eastAsia="Times New Roman" w:hAnsi="Times New Roman" w:cs="Times New Roman"/>
          <w:sz w:val="24"/>
          <w:szCs w:val="24"/>
          <w:lang w:val="lv-LV" w:eastAsia="en-US"/>
        </w:rPr>
        <w:t xml:space="preserve">Thus </w:t>
      </w:r>
      <w:r>
        <w:rPr>
          <w:rFonts w:ascii="Times New Roman" w:eastAsia="Times New Roman" w:hAnsi="Times New Roman" w:cs="Times New Roman"/>
          <w:sz w:val="24"/>
          <w:szCs w:val="24"/>
          <w:lang w:val="en-GB" w:eastAsia="en-US"/>
        </w:rPr>
        <w:t xml:space="preserve">this </w:t>
      </w:r>
      <w:r>
        <w:rPr>
          <w:rFonts w:ascii="Times New Roman" w:eastAsia="Times New Roman" w:hAnsi="Times New Roman" w:cs="Times New Roman"/>
          <w:sz w:val="24"/>
          <w:szCs w:val="24"/>
          <w:lang w:val="lv-LV" w:eastAsia="en-US"/>
        </w:rPr>
        <w:t xml:space="preserve">person </w:t>
      </w:r>
      <w:r>
        <w:rPr>
          <w:rFonts w:ascii="Times New Roman" w:eastAsia="Times New Roman" w:hAnsi="Times New Roman" w:cs="Times New Roman"/>
          <w:sz w:val="24"/>
          <w:szCs w:val="24"/>
          <w:lang w:val="en-GB" w:eastAsia="en-US"/>
        </w:rPr>
        <w:t xml:space="preserve">will be </w:t>
      </w:r>
      <w:r>
        <w:rPr>
          <w:rFonts w:ascii="Times New Roman" w:eastAsia="Times New Roman" w:hAnsi="Times New Roman" w:cs="Times New Roman"/>
          <w:sz w:val="24"/>
          <w:szCs w:val="24"/>
          <w:lang w:val="lv-LV" w:eastAsia="en-US"/>
        </w:rPr>
        <w:t xml:space="preserve">presumed to be a beneficial owner, but is not becoming one in fact. </w:t>
      </w:r>
      <w:r>
        <w:rPr>
          <w:rFonts w:ascii="Times New Roman" w:eastAsia="Times New Roman" w:hAnsi="Times New Roman" w:cs="Times New Roman"/>
          <w:sz w:val="24"/>
          <w:szCs w:val="24"/>
          <w:lang w:val="en-GB" w:eastAsia="en-US"/>
        </w:rPr>
        <w:t xml:space="preserve">Yet in case, when </w:t>
      </w:r>
      <w:r>
        <w:rPr>
          <w:rFonts w:ascii="Times New Roman" w:eastAsia="Times New Roman" w:hAnsi="Times New Roman" w:cs="Times New Roman"/>
          <w:sz w:val="24"/>
          <w:szCs w:val="24"/>
          <w:lang w:val="en-GB" w:eastAsia="en-US"/>
        </w:rPr>
        <w:t>this article is applied and the financial institution registers the natural person holding the position in the senior management of the legal person or arrangement as the beneficial owner of that, that person does not acquire any additional rights or oblig</w:t>
      </w:r>
      <w:r>
        <w:rPr>
          <w:rFonts w:ascii="Times New Roman" w:eastAsia="Times New Roman" w:hAnsi="Times New Roman" w:cs="Times New Roman"/>
          <w:sz w:val="24"/>
          <w:szCs w:val="24"/>
          <w:lang w:val="en-GB" w:eastAsia="en-US"/>
        </w:rPr>
        <w:t>ations. As the action of registration is taking place on the basis of statutory obligation on the institution and “ is aimed at the credit institution ensuring the operation of the internal control system by performing customer research activities.</w:t>
      </w:r>
      <w:r>
        <w:rPr>
          <w:rFonts w:ascii="Times New Roman" w:eastAsia="Times New Roman" w:hAnsi="Times New Roman" w:cs="Times New Roman"/>
          <w:sz w:val="24"/>
          <w:szCs w:val="24"/>
          <w:vertAlign w:val="superscript"/>
          <w:lang w:val="en-GB" w:eastAsia="en-US"/>
        </w:rPr>
        <w:footnoteReference w:id="80"/>
      </w:r>
      <w:r>
        <w:rPr>
          <w:rFonts w:ascii="Times New Roman" w:eastAsia="Times New Roman" w:hAnsi="Times New Roman" w:cs="Times New Roman"/>
          <w:sz w:val="24"/>
          <w:szCs w:val="24"/>
          <w:lang w:val="en-GB" w:eastAsia="en-US"/>
        </w:rPr>
        <w:t>”  This</w:t>
      </w:r>
      <w:r>
        <w:rPr>
          <w:rFonts w:ascii="Times New Roman" w:eastAsia="Times New Roman" w:hAnsi="Times New Roman" w:cs="Times New Roman"/>
          <w:sz w:val="24"/>
          <w:szCs w:val="24"/>
          <w:lang w:val="en-GB" w:eastAsia="en-US"/>
        </w:rPr>
        <w:t xml:space="preserve"> person will remain holding his position in the legal person or arrangement without any changes in his right or obligations arising from such registration, but will be considered as the beneficial owner from the perspective of the responsible institutions </w:t>
      </w:r>
      <w:r>
        <w:rPr>
          <w:rFonts w:ascii="Times New Roman" w:eastAsia="Times New Roman" w:hAnsi="Times New Roman" w:cs="Times New Roman"/>
          <w:sz w:val="24"/>
          <w:szCs w:val="24"/>
          <w:lang w:val="en-GB" w:eastAsia="en-US"/>
        </w:rPr>
        <w:t xml:space="preserve">( subjects of the Law on the Prevention of Money Laundering)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31" w:name="_Toc7246"/>
      <w:bookmarkStart w:id="32" w:name="_Toc8719"/>
      <w:bookmarkStart w:id="33" w:name="_Toc9722"/>
      <w:r>
        <w:rPr>
          <w:rFonts w:ascii="Times New Roman" w:eastAsiaTheme="majorEastAsia" w:hAnsi="Times New Roman" w:hint="default"/>
          <w:color w:val="000000" w:themeColor="text1"/>
          <w:lang w:val="lv-LV" w:eastAsia="ru-RU"/>
        </w:rPr>
        <w:t>4.2.</w:t>
      </w:r>
      <w:r>
        <w:rPr>
          <w:rFonts w:ascii="Times New Roman" w:eastAsiaTheme="majorEastAsia" w:hAnsi="Times New Roman" w:hint="default"/>
          <w:color w:val="000000" w:themeColor="text1"/>
          <w:lang w:val="en-GB" w:eastAsia="ru-RU"/>
        </w:rPr>
        <w:t xml:space="preserve"> </w:t>
      </w:r>
      <w:r>
        <w:rPr>
          <w:rFonts w:ascii="Times New Roman" w:eastAsiaTheme="majorEastAsia" w:hAnsi="Times New Roman" w:hint="default"/>
          <w:color w:val="000000" w:themeColor="text1"/>
          <w:lang w:val="lv-LV" w:eastAsia="ru-RU"/>
        </w:rPr>
        <w:t>P</w:t>
      </w:r>
      <w:r>
        <w:rPr>
          <w:rFonts w:ascii="Times New Roman" w:eastAsiaTheme="majorEastAsia" w:hAnsi="Times New Roman" w:hint="default"/>
          <w:color w:val="000000" w:themeColor="text1"/>
          <w:lang w:val="en-GB" w:eastAsia="ru-RU"/>
        </w:rPr>
        <w:t>ublic person or derived public person</w:t>
      </w:r>
      <w:bookmarkEnd w:id="31"/>
    </w:p>
    <w:p w:rsidR="003540B4" w:rsidRDefault="008C0147">
      <w:pPr>
        <w:pStyle w:val="RGSLNormal"/>
        <w:jc w:val="both"/>
        <w:rPr>
          <w:rFonts w:ascii="Times New Roman" w:eastAsia="Times New Roman" w:hAnsi="Times New Roman" w:cs="Times New Roman"/>
          <w:sz w:val="24"/>
          <w:szCs w:val="24"/>
          <w:lang w:val="en-GB" w:eastAsia="en-US"/>
        </w:rPr>
      </w:pPr>
      <w:bookmarkStart w:id="34" w:name="_Toc29009"/>
      <w:bookmarkStart w:id="35" w:name="_Toc1197"/>
      <w:r>
        <w:rPr>
          <w:rFonts w:ascii="Times New Roman" w:eastAsia="Times New Roman" w:hAnsi="Times New Roman" w:cs="Times New Roman"/>
          <w:sz w:val="24"/>
          <w:szCs w:val="24"/>
          <w:lang w:val="en-GB" w:eastAsia="en-US"/>
        </w:rPr>
        <w:t xml:space="preserve">If the respective legal person is a public person or derived public person, there are no beneficial owner as such. As the organization by definition </w:t>
      </w:r>
      <w:r>
        <w:rPr>
          <w:rFonts w:ascii="Times New Roman" w:eastAsia="Times New Roman" w:hAnsi="Times New Roman" w:cs="Times New Roman"/>
          <w:sz w:val="24"/>
          <w:szCs w:val="24"/>
          <w:lang w:val="en-GB" w:eastAsia="en-US"/>
        </w:rPr>
        <w:t>has no beneficial owner. As  State Administration Structure Law Section 1  “Terms Used in this Law” parts 1 and 2 defined such legal persons as</w:t>
      </w:r>
      <w:bookmarkEnd w:id="32"/>
      <w:bookmarkEnd w:id="33"/>
      <w:bookmarkEnd w:id="34"/>
      <w:bookmarkEnd w:id="35"/>
      <w:r>
        <w:rPr>
          <w:rFonts w:ascii="Times New Roman" w:eastAsia="Times New Roman" w:hAnsi="Times New Roman" w:cs="Times New Roman"/>
          <w:sz w:val="24"/>
          <w:szCs w:val="24"/>
          <w:lang w:val="en-GB"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1) public person - the Republic of Latvia as the initial legal person governed by public law and derived public</w:t>
      </w:r>
      <w:r>
        <w:rPr>
          <w:rFonts w:ascii="Times New Roman" w:eastAsia="Times New Roman" w:hAnsi="Times New Roman" w:cs="Times New Roman"/>
          <w:szCs w:val="24"/>
          <w:lang w:val="en-GB" w:eastAsia="en-US"/>
        </w:rPr>
        <w:t xml:space="preserve"> persons. Such persons shall act in accordance with the principles of public law;</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2) derived public person - a local government or other public person established by law or on the basis of law. Such public person has been conferred its own autonomous compe</w:t>
      </w:r>
      <w:r>
        <w:rPr>
          <w:rFonts w:ascii="Times New Roman" w:eastAsia="Times New Roman" w:hAnsi="Times New Roman" w:cs="Times New Roman"/>
          <w:szCs w:val="24"/>
          <w:lang w:val="en-GB" w:eastAsia="en-US"/>
        </w:rPr>
        <w:t>tence by law, which includes also establishing and approval of its own budget. Such a person may have its own property;</w:t>
      </w:r>
      <w:r>
        <w:rPr>
          <w:rFonts w:ascii="Times New Roman" w:eastAsia="Times New Roman" w:hAnsi="Times New Roman" w:cs="Times New Roman"/>
          <w:szCs w:val="24"/>
          <w:vertAlign w:val="superscript"/>
          <w:lang w:val="en-GB" w:eastAsia="en-US"/>
        </w:rPr>
        <w:footnoteReference w:id="81"/>
      </w:r>
    </w:p>
    <w:p w:rsidR="003540B4" w:rsidRDefault="008C0147">
      <w:pPr>
        <w:pStyle w:val="Heading3"/>
        <w:numPr>
          <w:ilvl w:val="2"/>
          <w:numId w:val="0"/>
        </w:numPr>
        <w:shd w:val="clear" w:color="auto" w:fill="FFFFFF"/>
        <w:spacing w:line="240" w:lineRule="auto"/>
        <w:jc w:val="both"/>
        <w:rPr>
          <w:rFonts w:ascii="Times New Roman" w:eastAsia="Calibri" w:hAnsi="Times New Roman" w:hint="default"/>
          <w:sz w:val="24"/>
          <w:szCs w:val="24"/>
          <w:lang w:val="en-GB" w:bidi="ar"/>
        </w:rPr>
      </w:pPr>
      <w:bookmarkStart w:id="36" w:name="_Toc19333"/>
      <w:bookmarkStart w:id="37" w:name="_Toc24827"/>
      <w:bookmarkStart w:id="38" w:name="_Toc15980"/>
      <w:bookmarkStart w:id="39" w:name="_Toc30127"/>
      <w:bookmarkStart w:id="40" w:name="_Toc32218"/>
      <w:bookmarkStart w:id="41" w:name="_Toc12711"/>
      <w:r>
        <w:rPr>
          <w:rFonts w:ascii="Times New Roman" w:eastAsia="Times New Roman" w:hAnsi="Times New Roman" w:hint="default"/>
          <w:b w:val="0"/>
          <w:bCs w:val="0"/>
          <w:sz w:val="24"/>
          <w:szCs w:val="24"/>
          <w:lang w:val="en-GB" w:eastAsia="en-US"/>
        </w:rPr>
        <w:t>Thus as such legal person is created in order to ensure and establish “a democratic, lawful, effective, open and publicly accessible St</w:t>
      </w:r>
      <w:r>
        <w:rPr>
          <w:rFonts w:ascii="Times New Roman" w:eastAsia="Times New Roman" w:hAnsi="Times New Roman" w:hint="default"/>
          <w:b w:val="0"/>
          <w:bCs w:val="0"/>
          <w:sz w:val="24"/>
          <w:szCs w:val="24"/>
          <w:lang w:val="en-GB" w:eastAsia="en-US"/>
        </w:rPr>
        <w:t>ate administration.</w:t>
      </w:r>
      <w:r>
        <w:rPr>
          <w:rFonts w:ascii="Times New Roman" w:eastAsia="Times New Roman" w:hAnsi="Times New Roman" w:hint="default"/>
          <w:b w:val="0"/>
          <w:bCs w:val="0"/>
          <w:sz w:val="24"/>
          <w:szCs w:val="24"/>
          <w:vertAlign w:val="superscript"/>
          <w:lang w:val="en-GB" w:eastAsia="en-US"/>
        </w:rPr>
        <w:footnoteReference w:id="82"/>
      </w:r>
      <w:r>
        <w:rPr>
          <w:rFonts w:ascii="Times New Roman" w:eastAsia="Times New Roman" w:hAnsi="Times New Roman" w:hint="default"/>
          <w:b w:val="0"/>
          <w:bCs w:val="0"/>
          <w:sz w:val="24"/>
          <w:szCs w:val="24"/>
          <w:lang w:val="en-GB" w:eastAsia="en-US"/>
        </w:rPr>
        <w:t xml:space="preserve">” the benefits that are derived from the operation of such organization are used for the state and its citizens or inhabitants themselves. As a consequence when submitting the information on the beneficial owners to the enterprise </w:t>
      </w:r>
      <w:r>
        <w:rPr>
          <w:rFonts w:ascii="Times New Roman" w:eastAsia="Times New Roman" w:hAnsi="Times New Roman" w:hint="default"/>
          <w:b w:val="0"/>
          <w:bCs w:val="0"/>
          <w:sz w:val="24"/>
          <w:szCs w:val="24"/>
          <w:lang w:val="en-GB" w:eastAsia="en-US"/>
        </w:rPr>
        <w:t>registry or any other organisation, institution or legal person having a lawful right to require such, no specific natural person can be identified within the scope of the definition given in Law on the Prevention of Money Laundering and Terrorism and Prol</w:t>
      </w:r>
      <w:r>
        <w:rPr>
          <w:rFonts w:ascii="Times New Roman" w:eastAsia="Times New Roman" w:hAnsi="Times New Roman" w:hint="default"/>
          <w:b w:val="0"/>
          <w:bCs w:val="0"/>
          <w:sz w:val="24"/>
          <w:szCs w:val="24"/>
          <w:lang w:val="en-GB" w:eastAsia="en-US"/>
        </w:rPr>
        <w:t>iferation Financing and the legal person will remain without such</w:t>
      </w:r>
      <w:r>
        <w:rPr>
          <w:rFonts w:ascii="Times New Roman" w:eastAsia="Times New Roman" w:hAnsi="Times New Roman" w:hint="default"/>
          <w:b w:val="0"/>
          <w:bCs w:val="0"/>
          <w:sz w:val="24"/>
          <w:szCs w:val="24"/>
          <w:vertAlign w:val="superscript"/>
          <w:lang w:val="en-GB" w:eastAsia="en-US"/>
        </w:rPr>
        <w:footnoteReference w:id="83"/>
      </w:r>
      <w:r>
        <w:rPr>
          <w:rFonts w:ascii="Times New Roman" w:eastAsia="Times New Roman" w:hAnsi="Times New Roman" w:hint="default"/>
          <w:b w:val="0"/>
          <w:bCs w:val="0"/>
          <w:sz w:val="24"/>
          <w:szCs w:val="24"/>
          <w:lang w:val="en-GB" w:eastAsia="en-US"/>
        </w:rPr>
        <w:t>.</w:t>
      </w:r>
      <w:bookmarkEnd w:id="36"/>
      <w:bookmarkEnd w:id="37"/>
      <w:bookmarkEnd w:id="38"/>
      <w:bookmarkEnd w:id="39"/>
      <w:bookmarkEnd w:id="40"/>
      <w:bookmarkEnd w:id="41"/>
      <w:r>
        <w:rPr>
          <w:rFonts w:ascii="Times New Roman" w:eastAsia="Times New Roman" w:hAnsi="Times New Roman" w:hint="default"/>
          <w:b w:val="0"/>
          <w:bCs w:val="0"/>
          <w:sz w:val="24"/>
          <w:szCs w:val="24"/>
          <w:lang w:val="en-GB" w:eastAsia="en-US"/>
        </w:rPr>
        <w:t xml:space="preserve">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42" w:name="_Toc25899"/>
      <w:r>
        <w:rPr>
          <w:rFonts w:ascii="Times New Roman" w:eastAsiaTheme="majorEastAsia" w:hAnsi="Times New Roman" w:hint="default"/>
          <w:color w:val="000000" w:themeColor="text1"/>
          <w:lang w:val="lv-LV" w:eastAsia="ru-RU"/>
        </w:rPr>
        <w:t>4.3.</w:t>
      </w:r>
      <w:r>
        <w:rPr>
          <w:rFonts w:ascii="Times New Roman" w:eastAsiaTheme="majorEastAsia" w:hAnsi="Times New Roman" w:hint="default"/>
          <w:color w:val="000000" w:themeColor="text1"/>
          <w:lang w:val="en-GB" w:eastAsia="ru-RU"/>
        </w:rPr>
        <w:t xml:space="preserve"> Co-operative society</w:t>
      </w:r>
      <w:bookmarkEnd w:id="42"/>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In case of co-operative society, which is defined as </w:t>
      </w:r>
    </w:p>
    <w:p w:rsidR="003540B4" w:rsidRDefault="008C0147">
      <w:pPr>
        <w:pStyle w:val="RGSLQuote"/>
        <w:spacing w:line="240" w:lineRule="auto"/>
        <w:jc w:val="both"/>
        <w:rPr>
          <w:rFonts w:ascii="Times New Roman" w:eastAsia="Times New Roman" w:hAnsi="Times New Roman" w:cs="Times New Roman"/>
          <w:szCs w:val="24"/>
          <w:lang w:val="en-GB" w:eastAsia="en-US"/>
        </w:rPr>
      </w:pPr>
      <w:r>
        <w:rPr>
          <w:rFonts w:ascii="Times New Roman" w:eastAsia="Times New Roman" w:hAnsi="Times New Roman" w:cs="Times New Roman"/>
          <w:szCs w:val="24"/>
          <w:lang w:val="en-GB" w:eastAsia="en-US"/>
        </w:rPr>
        <w:t>a voluntary association of natural persons and legal persons the aim of which is to provide services in ord</w:t>
      </w:r>
      <w:r>
        <w:rPr>
          <w:rFonts w:ascii="Times New Roman" w:eastAsia="Times New Roman" w:hAnsi="Times New Roman" w:cs="Times New Roman"/>
          <w:szCs w:val="24"/>
          <w:lang w:val="en-GB" w:eastAsia="en-US"/>
        </w:rPr>
        <w:t>er to increase the effectiveness of the commercial activity of its members</w:t>
      </w:r>
      <w:r>
        <w:rPr>
          <w:rFonts w:ascii="Times New Roman" w:eastAsia="Times New Roman" w:hAnsi="Times New Roman" w:cs="Times New Roman"/>
          <w:szCs w:val="24"/>
          <w:vertAlign w:val="superscript"/>
          <w:lang w:val="en-GB" w:eastAsia="en-US"/>
        </w:rPr>
        <w:footnoteReference w:id="84"/>
      </w:r>
    </w:p>
    <w:p w:rsidR="003540B4" w:rsidRDefault="008C0147">
      <w:pPr>
        <w:pStyle w:val="RGSLNormal"/>
        <w:jc w:val="both"/>
        <w:rPr>
          <w:lang w:val="en-GB"/>
        </w:rPr>
      </w:pPr>
      <w:bookmarkStart w:id="43" w:name="_Toc31275"/>
      <w:bookmarkStart w:id="44" w:name="_Toc30349"/>
      <w:bookmarkStart w:id="45" w:name="_Toc4286"/>
      <w:r>
        <w:rPr>
          <w:rFonts w:ascii="Times New Roman" w:eastAsia="Times New Roman" w:hAnsi="Times New Roman" w:cs="Times New Roman"/>
          <w:sz w:val="24"/>
          <w:szCs w:val="24"/>
          <w:lang w:val="en-GB" w:eastAsia="en-US"/>
        </w:rPr>
        <w:t xml:space="preserve">In Co-operative Societies Law ( entered into force 10.03.1988, end of validity 01.01.2019) the beneficial owner identification procedure is the same as for any other legal person. </w:t>
      </w:r>
      <w:r>
        <w:rPr>
          <w:rFonts w:ascii="Times New Roman" w:eastAsia="Times New Roman" w:hAnsi="Times New Roman" w:cs="Times New Roman"/>
          <w:sz w:val="24"/>
          <w:szCs w:val="24"/>
          <w:lang w:val="en-GB" w:eastAsia="en-US"/>
        </w:rPr>
        <w:t xml:space="preserve">With application of Sections 1 subsection 5 and Section 18 subsection 7 in case when no natural person has been identified under the application of the first section. As according to that norm each of the members has 1 vote, there can only be no more than </w:t>
      </w:r>
      <w:r>
        <w:rPr>
          <w:rFonts w:ascii="Times New Roman" w:eastAsia="Times New Roman" w:hAnsi="Times New Roman" w:cs="Times New Roman"/>
          <w:sz w:val="24"/>
          <w:szCs w:val="24"/>
          <w:lang w:val="en-GB" w:eastAsia="en-US"/>
        </w:rPr>
        <w:t>3 beneficial owner of such legal person by application of 25 percent threshold rule. In case when the cooperative society is owned by another or multiple other legal persons, the natural person holding in direct or an indirect way more than 25 percent of t</w:t>
      </w:r>
      <w:r>
        <w:rPr>
          <w:rFonts w:ascii="Times New Roman" w:eastAsia="Times New Roman" w:hAnsi="Times New Roman" w:cs="Times New Roman"/>
          <w:sz w:val="24"/>
          <w:szCs w:val="24"/>
          <w:lang w:val="en-GB" w:eastAsia="en-US"/>
        </w:rPr>
        <w:t>he initial legal person shall be considered as the beneficial owner. According to section 3 of the Law on Cooperative Societies activities of a cooperative society are managed by its members as well as the profits and benefits of operations held by such le</w:t>
      </w:r>
      <w:r>
        <w:rPr>
          <w:rFonts w:ascii="Times New Roman" w:eastAsia="Times New Roman" w:hAnsi="Times New Roman" w:cs="Times New Roman"/>
          <w:sz w:val="24"/>
          <w:szCs w:val="24"/>
          <w:lang w:val="en-GB" w:eastAsia="en-US"/>
        </w:rPr>
        <w:t>gal persons are distributed to its members</w:t>
      </w:r>
      <w:r>
        <w:rPr>
          <w:rFonts w:ascii="Times New Roman" w:eastAsia="Times New Roman" w:hAnsi="Times New Roman" w:cs="Times New Roman"/>
          <w:sz w:val="24"/>
          <w:szCs w:val="24"/>
          <w:vertAlign w:val="superscript"/>
          <w:lang w:val="en-GB" w:eastAsia="en-US"/>
        </w:rPr>
        <w:footnoteReference w:id="85"/>
      </w:r>
      <w:r>
        <w:rPr>
          <w:rFonts w:ascii="Times New Roman" w:eastAsia="Times New Roman" w:hAnsi="Times New Roman" w:cs="Times New Roman"/>
          <w:sz w:val="24"/>
          <w:szCs w:val="24"/>
          <w:lang w:val="en-GB" w:eastAsia="en-US"/>
        </w:rPr>
        <w:t>.</w:t>
      </w:r>
      <w:bookmarkEnd w:id="43"/>
      <w:bookmarkEnd w:id="44"/>
      <w:bookmarkEnd w:id="45"/>
      <w:r>
        <w:rPr>
          <w:rFonts w:ascii="Times New Roman" w:eastAsia="Times New Roman" w:hAnsi="Times New Roman" w:cs="Times New Roman"/>
          <w:sz w:val="24"/>
          <w:szCs w:val="24"/>
          <w:lang w:val="en-GB" w:eastAsia="en-US"/>
        </w:rPr>
        <w:t xml:space="preserve"> </w:t>
      </w: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46" w:name="_Toc24292"/>
      <w:r>
        <w:rPr>
          <w:rFonts w:ascii="Times New Roman" w:eastAsiaTheme="majorEastAsia" w:hAnsi="Times New Roman" w:hint="default"/>
          <w:color w:val="000000" w:themeColor="text1"/>
          <w:lang w:val="lv-LV" w:eastAsia="ru-RU"/>
        </w:rPr>
        <w:t>4.</w:t>
      </w:r>
      <w:r>
        <w:rPr>
          <w:rFonts w:ascii="Times New Roman" w:eastAsiaTheme="majorEastAsia" w:hAnsi="Times New Roman" w:hint="default"/>
          <w:color w:val="000000" w:themeColor="text1"/>
          <w:lang w:val="en-GB" w:eastAsia="ru-RU"/>
        </w:rPr>
        <w:t>4</w:t>
      </w:r>
      <w:r>
        <w:rPr>
          <w:rFonts w:ascii="Times New Roman" w:eastAsiaTheme="majorEastAsia" w:hAnsi="Times New Roman" w:hint="default"/>
          <w:color w:val="000000" w:themeColor="text1"/>
          <w:lang w:val="lv-LV" w:eastAsia="ru-RU"/>
        </w:rPr>
        <w:t>.</w:t>
      </w:r>
      <w:r>
        <w:rPr>
          <w:rFonts w:ascii="Times New Roman" w:eastAsiaTheme="majorEastAsia" w:hAnsi="Times New Roman" w:hint="default"/>
          <w:color w:val="000000" w:themeColor="text1"/>
          <w:lang w:val="en-GB" w:eastAsia="ru-RU"/>
        </w:rPr>
        <w:t xml:space="preserve"> General Partnership and Limited partnership</w:t>
      </w:r>
      <w:bookmarkEnd w:id="46"/>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Both legal forms of business are defines in The Commercial Law of Latvia and are given following definitions.</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General partnership is</w:t>
      </w:r>
    </w:p>
    <w:p w:rsidR="003540B4" w:rsidRDefault="008C0147">
      <w:pPr>
        <w:pStyle w:val="RGSLQuote"/>
        <w:spacing w:line="240" w:lineRule="auto"/>
        <w:jc w:val="both"/>
        <w:rPr>
          <w:rFonts w:ascii="Times New Roman" w:eastAsia="Times New Roman" w:hAnsi="Times New Roman" w:cs="Times New Roman"/>
          <w:szCs w:val="24"/>
          <w:lang w:val="en-GB" w:eastAsia="ru-RU"/>
        </w:rPr>
      </w:pPr>
      <w:r>
        <w:rPr>
          <w:rFonts w:ascii="Times New Roman" w:eastAsia="Times New Roman" w:hAnsi="Times New Roman" w:cs="Times New Roman"/>
          <w:szCs w:val="24"/>
          <w:lang w:val="en-GB" w:eastAsia="ru-RU"/>
        </w:rPr>
        <w:t xml:space="preserve"> a partnership, the purpose of which is the performance of commercial activities through the use of a joint firm name, and in which two or more persons (members) have united, on the basis of a partnership agreement, without limiting their liability against</w:t>
      </w:r>
      <w:r>
        <w:rPr>
          <w:rFonts w:ascii="Times New Roman" w:eastAsia="Times New Roman" w:hAnsi="Times New Roman" w:cs="Times New Roman"/>
          <w:szCs w:val="24"/>
          <w:lang w:val="en-GB" w:eastAsia="ru-RU"/>
        </w:rPr>
        <w:t xml:space="preserve"> creditors of the general partnership.</w:t>
      </w:r>
      <w:r>
        <w:rPr>
          <w:rFonts w:ascii="Times New Roman" w:eastAsia="Times New Roman" w:hAnsi="Times New Roman" w:cs="Times New Roman"/>
          <w:szCs w:val="24"/>
          <w:vertAlign w:val="superscript"/>
          <w:lang w:val="en-GB" w:eastAsia="ru-RU"/>
        </w:rPr>
        <w:footnoteReference w:id="86"/>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And Limited Partnership is </w:t>
      </w:r>
    </w:p>
    <w:p w:rsidR="003540B4" w:rsidRDefault="008C0147">
      <w:pPr>
        <w:pStyle w:val="RGSLQuote"/>
        <w:spacing w:line="240" w:lineRule="auto"/>
        <w:jc w:val="both"/>
        <w:rPr>
          <w:rFonts w:ascii="Times New Roman" w:eastAsia="Times New Roman" w:hAnsi="Times New Roman" w:cs="Times New Roman"/>
          <w:szCs w:val="24"/>
          <w:lang w:val="en-GB" w:eastAsia="ru-RU"/>
        </w:rPr>
      </w:pPr>
      <w:r>
        <w:rPr>
          <w:rFonts w:ascii="Times New Roman" w:eastAsia="Times New Roman" w:hAnsi="Times New Roman" w:cs="Times New Roman"/>
          <w:szCs w:val="24"/>
          <w:lang w:val="en-GB" w:eastAsia="ru-RU"/>
        </w:rPr>
        <w:t>a partnership (hereinafter in this Division - the partnership), the purpose of which is the performance of commercial activities through the use of a joint firm name, and in which two or m</w:t>
      </w:r>
      <w:r>
        <w:rPr>
          <w:rFonts w:ascii="Times New Roman" w:eastAsia="Times New Roman" w:hAnsi="Times New Roman" w:cs="Times New Roman"/>
          <w:szCs w:val="24"/>
          <w:lang w:val="en-GB" w:eastAsia="ru-RU"/>
        </w:rPr>
        <w:t xml:space="preserve">ore persons (members) have agreed on the basis of a partnership agreement, if the liability of at least one of the members of the partnership (limited partner) in relation to the creditors of the partnership is limited to the amount of their contribution, </w:t>
      </w:r>
      <w:r>
        <w:rPr>
          <w:rFonts w:ascii="Times New Roman" w:eastAsia="Times New Roman" w:hAnsi="Times New Roman" w:cs="Times New Roman"/>
          <w:szCs w:val="24"/>
          <w:lang w:val="en-GB" w:eastAsia="ru-RU"/>
        </w:rPr>
        <w:t>but the liability of the other personal liability members of the partnership (general partners) is not limited.</w:t>
      </w:r>
      <w:r>
        <w:rPr>
          <w:rFonts w:ascii="Times New Roman" w:eastAsia="Times New Roman" w:hAnsi="Times New Roman" w:cs="Times New Roman"/>
          <w:szCs w:val="24"/>
          <w:vertAlign w:val="superscript"/>
          <w:lang w:val="en-GB" w:eastAsia="ru-RU"/>
        </w:rPr>
        <w:footnoteReference w:id="87"/>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Both unified by the common legal form of business- partnership, with common aim of performing commercial activities by using a joint name. In c</w:t>
      </w:r>
      <w:r>
        <w:rPr>
          <w:rFonts w:ascii="Times New Roman" w:eastAsia="Times New Roman" w:hAnsi="Times New Roman" w:cs="Times New Roman"/>
          <w:sz w:val="24"/>
          <w:szCs w:val="24"/>
          <w:lang w:val="en-GB" w:eastAsia="en-US"/>
        </w:rPr>
        <w:t>ase of these legal forms of business all previously identified sections of the law remain applicable, but followingly identified aspects might differ. Sections 9 and 10 of the same law regulate the mutual relations of the members, decision-making, relation</w:t>
      </w:r>
      <w:r>
        <w:rPr>
          <w:rFonts w:ascii="Times New Roman" w:eastAsia="Times New Roman" w:hAnsi="Times New Roman" w:cs="Times New Roman"/>
          <w:sz w:val="24"/>
          <w:szCs w:val="24"/>
          <w:lang w:val="en-GB" w:eastAsia="en-US"/>
        </w:rPr>
        <w:t>s with third parties Yet those mutual relations will also be negotiated in accordance with the provisions of the partnership agreement. As a result decision making process is taking place by the consent of all members of the partnership with decision-makin</w:t>
      </w:r>
      <w:r>
        <w:rPr>
          <w:rFonts w:ascii="Times New Roman" w:eastAsia="Times New Roman" w:hAnsi="Times New Roman" w:cs="Times New Roman"/>
          <w:sz w:val="24"/>
          <w:szCs w:val="24"/>
          <w:lang w:val="en-GB" w:eastAsia="en-US"/>
        </w:rPr>
        <w:t>g rights. Followingly all members have rights to check the course of the company's affairs, look at it accounting, other documents, prepare a report on the assets, balance sheet and annual report</w:t>
      </w:r>
      <w:r>
        <w:rPr>
          <w:rFonts w:ascii="Times New Roman" w:eastAsia="Times New Roman" w:hAnsi="Times New Roman" w:cs="Times New Roman"/>
          <w:sz w:val="24"/>
          <w:szCs w:val="24"/>
          <w:vertAlign w:val="superscript"/>
          <w:lang w:val="en-GB" w:eastAsia="en-US"/>
        </w:rPr>
        <w:footnoteReference w:id="88"/>
      </w:r>
      <w:r>
        <w:rPr>
          <w:rFonts w:ascii="Times New Roman" w:eastAsia="Times New Roman" w:hAnsi="Times New Roman" w:cs="Times New Roman"/>
          <w:sz w:val="24"/>
          <w:szCs w:val="24"/>
          <w:lang w:val="en-GB" w:eastAsia="en-US"/>
        </w:rPr>
        <w:t>.</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By virtue of applicability of the same article as the bene</w:t>
      </w:r>
      <w:r>
        <w:rPr>
          <w:rFonts w:ascii="Times New Roman" w:eastAsia="Times New Roman" w:hAnsi="Times New Roman" w:cs="Times New Roman"/>
          <w:sz w:val="24"/>
          <w:szCs w:val="24"/>
          <w:lang w:val="en-GB" w:eastAsia="en-US"/>
        </w:rPr>
        <w:t xml:space="preserve">ficial owner in such legal forms of business the as beneficial owners will be considered the shareholders of 25 percents of shares and in case of an indirect control the person on whose behalf the member acts will be identified as the beneficial owner. In </w:t>
      </w:r>
      <w:r>
        <w:rPr>
          <w:rFonts w:ascii="Times New Roman" w:eastAsia="Times New Roman" w:hAnsi="Times New Roman" w:cs="Times New Roman"/>
          <w:sz w:val="24"/>
          <w:szCs w:val="24"/>
          <w:lang w:val="en-GB" w:eastAsia="en-US"/>
        </w:rPr>
        <w:t>case if there are more than 3 shareholders If the partnership itself is controlled by multiple other legal persons or arrangements as the beneficial owners will the persons fitting within the 25 percent threshold through an indirect control at the end of t</w:t>
      </w:r>
      <w:r>
        <w:rPr>
          <w:rFonts w:ascii="Times New Roman" w:eastAsia="Times New Roman" w:hAnsi="Times New Roman" w:cs="Times New Roman"/>
          <w:sz w:val="24"/>
          <w:szCs w:val="24"/>
          <w:lang w:val="en-GB" w:eastAsia="en-US"/>
        </w:rPr>
        <w:t>he ownership chain. If there is no person identified by application of section 1 sub-section 5 then section 18 sub-section 7 shall be applied</w:t>
      </w:r>
    </w:p>
    <w:p w:rsidR="003540B4" w:rsidRDefault="003540B4">
      <w:pPr>
        <w:rPr>
          <w:color w:val="FF0000"/>
          <w:lang w:val="en-GB"/>
        </w:rPr>
      </w:pPr>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bookmarkStart w:id="47" w:name="_Toc10271"/>
      <w:r>
        <w:rPr>
          <w:rFonts w:ascii="Times New Roman" w:eastAsiaTheme="majorEastAsia" w:hAnsi="Times New Roman" w:hint="default"/>
          <w:color w:val="000000" w:themeColor="text1"/>
          <w:lang w:val="lv-LV" w:eastAsia="ru-RU"/>
        </w:rPr>
        <w:t>4.</w:t>
      </w:r>
      <w:r>
        <w:rPr>
          <w:rFonts w:ascii="Times New Roman" w:eastAsiaTheme="majorEastAsia" w:hAnsi="Times New Roman" w:hint="default"/>
          <w:color w:val="000000" w:themeColor="text1"/>
          <w:lang w:val="en-GB" w:eastAsia="ru-RU"/>
        </w:rPr>
        <w:t>5</w:t>
      </w:r>
      <w:r>
        <w:rPr>
          <w:rFonts w:ascii="Times New Roman" w:eastAsiaTheme="majorEastAsia" w:hAnsi="Times New Roman" w:hint="default"/>
          <w:color w:val="000000" w:themeColor="text1"/>
          <w:lang w:val="lv-LV" w:eastAsia="ru-RU"/>
        </w:rPr>
        <w:t>.</w:t>
      </w:r>
      <w:r>
        <w:rPr>
          <w:rFonts w:ascii="Times New Roman" w:eastAsiaTheme="majorEastAsia" w:hAnsi="Times New Roman" w:hint="default"/>
          <w:color w:val="000000" w:themeColor="text1"/>
          <w:lang w:val="en-GB" w:eastAsia="ru-RU"/>
        </w:rPr>
        <w:t xml:space="preserve"> Associations, Trade Unions and Political Parties</w:t>
      </w:r>
      <w:bookmarkEnd w:id="47"/>
      <w:r>
        <w:rPr>
          <w:rFonts w:ascii="Times New Roman" w:eastAsiaTheme="majorEastAsia" w:hAnsi="Times New Roman" w:hint="default"/>
          <w:color w:val="000000" w:themeColor="text1"/>
          <w:lang w:val="en-GB" w:eastAsia="ru-RU"/>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Association is defined in Associations and Foundations Law</w:t>
      </w:r>
      <w:r>
        <w:rPr>
          <w:rFonts w:ascii="Times New Roman" w:eastAsia="Times New Roman" w:hAnsi="Times New Roman" w:cs="Times New Roman"/>
          <w:sz w:val="24"/>
          <w:szCs w:val="24"/>
          <w:lang w:val="en-GB" w:eastAsia="en-US"/>
        </w:rPr>
        <w:t xml:space="preserve"> in Section 2 as</w:t>
      </w:r>
    </w:p>
    <w:p w:rsidR="003540B4" w:rsidRDefault="008C0147">
      <w:pPr>
        <w:pStyle w:val="RGSLQuote"/>
        <w:spacing w:line="240" w:lineRule="auto"/>
        <w:jc w:val="both"/>
        <w:rPr>
          <w:rFonts w:ascii="Times New Roman" w:eastAsia="Times New Roman" w:hAnsi="Times New Roman" w:cs="Times New Roman"/>
          <w:szCs w:val="24"/>
          <w:lang w:val="en-GB" w:eastAsia="ru-RU"/>
        </w:rPr>
      </w:pPr>
      <w:r>
        <w:rPr>
          <w:rFonts w:ascii="Times New Roman" w:eastAsia="Times New Roman" w:hAnsi="Times New Roman" w:cs="Times New Roman"/>
          <w:szCs w:val="24"/>
          <w:lang w:eastAsia="ru-RU"/>
        </w:rPr>
        <w:t>An association is a voluntary union of persons founded to achieve the goal specified in the articles of association, which shall not have a profit-making nature</w:t>
      </w:r>
      <w:r>
        <w:rPr>
          <w:rFonts w:ascii="Times New Roman" w:eastAsia="Times New Roman" w:hAnsi="Times New Roman" w:cs="Times New Roman"/>
          <w:szCs w:val="24"/>
          <w:lang w:val="en-GB" w:eastAsia="ru-RU"/>
        </w:rPr>
        <w:t>.</w:t>
      </w:r>
      <w:r>
        <w:rPr>
          <w:rFonts w:ascii="Times New Roman" w:eastAsia="Times New Roman" w:hAnsi="Times New Roman" w:cs="Times New Roman"/>
          <w:szCs w:val="24"/>
          <w:vertAlign w:val="superscript"/>
          <w:lang w:eastAsia="ru-RU"/>
        </w:rPr>
        <w:footnoteReference w:id="89"/>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Political parties are defined in  Law on Political Parties Section 2 as </w:t>
      </w:r>
    </w:p>
    <w:p w:rsidR="003540B4" w:rsidRDefault="008C0147">
      <w:pPr>
        <w:pStyle w:val="RGSLQuote"/>
        <w:spacing w:line="240" w:lineRule="auto"/>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 A </w:t>
      </w:r>
      <w:r>
        <w:rPr>
          <w:rFonts w:ascii="Times New Roman" w:eastAsia="Times New Roman" w:hAnsi="Times New Roman" w:cs="Times New Roman"/>
          <w:szCs w:val="24"/>
          <w:lang w:eastAsia="ru-RU"/>
        </w:rPr>
        <w:t xml:space="preserve">party is an organisation that is established in order to perform political activities, to participate in election campaigns, to nominate candidates for deputy positions, to participate in the work of the Saeima, local government councils (parish councils) </w:t>
      </w:r>
      <w:r>
        <w:rPr>
          <w:rFonts w:ascii="Times New Roman" w:eastAsia="Times New Roman" w:hAnsi="Times New Roman" w:cs="Times New Roman"/>
          <w:szCs w:val="24"/>
          <w:lang w:eastAsia="ru-RU"/>
        </w:rPr>
        <w:t>or the European Parliament, to implement the party programme with the intermediation of deputies, as well as to be involved in the establishment of public administrative bodies.</w:t>
      </w:r>
      <w:r>
        <w:rPr>
          <w:rFonts w:ascii="Times New Roman" w:eastAsia="Times New Roman" w:hAnsi="Times New Roman" w:cs="Times New Roman"/>
          <w:szCs w:val="24"/>
          <w:vertAlign w:val="superscript"/>
          <w:lang w:eastAsia="ru-RU"/>
        </w:rPr>
        <w:footnoteReference w:id="90"/>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ru-RU"/>
        </w:rPr>
        <w:t>Trade unions are defined in Law on Trade Unions Section 3 as</w:t>
      </w:r>
      <w:r>
        <w:rPr>
          <w:rFonts w:ascii="Times New Roman" w:eastAsia="Times New Roman" w:hAnsi="Times New Roman" w:cs="Times New Roman"/>
          <w:sz w:val="24"/>
          <w:szCs w:val="24"/>
          <w:lang w:val="en-GB" w:eastAsia="en-US"/>
        </w:rPr>
        <w:t xml:space="preserve"> </w:t>
      </w:r>
    </w:p>
    <w:p w:rsidR="003540B4" w:rsidRDefault="008C0147">
      <w:pPr>
        <w:pStyle w:val="RGSLQuote"/>
        <w:spacing w:line="240" w:lineRule="auto"/>
        <w:jc w:val="both"/>
        <w:rPr>
          <w:rFonts w:ascii="Times New Roman" w:eastAsia="Times New Roman" w:hAnsi="Times New Roman" w:cs="Times New Roman"/>
          <w:szCs w:val="24"/>
          <w:lang w:eastAsia="ru-RU"/>
        </w:rPr>
      </w:pPr>
      <w:r>
        <w:rPr>
          <w:rFonts w:ascii="Times New Roman" w:eastAsia="Times New Roman" w:hAnsi="Times New Roman" w:cs="Times New Roman"/>
          <w:szCs w:val="24"/>
          <w:lang w:eastAsia="ru-RU"/>
        </w:rPr>
        <w:t xml:space="preserve">A trade union </w:t>
      </w:r>
      <w:r>
        <w:rPr>
          <w:rFonts w:ascii="Times New Roman" w:eastAsia="Times New Roman" w:hAnsi="Times New Roman" w:cs="Times New Roman"/>
          <w:szCs w:val="24"/>
          <w:lang w:eastAsia="ru-RU"/>
        </w:rPr>
        <w:t>is a voluntary association of persons that has been established to represent and protect labour, economic, social and professional rights and interests of employees.</w:t>
      </w:r>
      <w:r>
        <w:rPr>
          <w:rFonts w:ascii="Times New Roman" w:eastAsia="Times New Roman" w:hAnsi="Times New Roman" w:cs="Times New Roman"/>
          <w:szCs w:val="24"/>
          <w:vertAlign w:val="superscript"/>
          <w:lang w:eastAsia="ru-RU"/>
        </w:rPr>
        <w:footnoteReference w:id="91"/>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If members of the of the association exercise rights and obligations only within the the </w:t>
      </w:r>
      <w:r>
        <w:rPr>
          <w:rFonts w:ascii="Times New Roman" w:eastAsia="Times New Roman" w:hAnsi="Times New Roman" w:cs="Times New Roman"/>
          <w:sz w:val="24"/>
          <w:szCs w:val="24"/>
          <w:lang w:val="en-GB" w:eastAsia="en-US"/>
        </w:rPr>
        <w:t>scope of the law regulating such legal form of business, according to  the annotation of the draft law “Amendments to the Law on Prevention of Money Laundering and Terrorist Financing” such natural persons will not be considered as the beneficial owners. I</w:t>
      </w:r>
      <w:r>
        <w:rPr>
          <w:rFonts w:ascii="Times New Roman" w:eastAsia="Times New Roman" w:hAnsi="Times New Roman" w:cs="Times New Roman"/>
          <w:sz w:val="24"/>
          <w:szCs w:val="24"/>
          <w:lang w:val="en-GB" w:eastAsia="en-US"/>
        </w:rPr>
        <w:t>f they are exercising their right and obligations not in accordance with the law in consideration shall be taken the fact what are the purpose of the establishment of such arrangement identified in its statutes and whether such are in compliance with natio</w:t>
      </w:r>
      <w:r>
        <w:rPr>
          <w:rFonts w:ascii="Times New Roman" w:eastAsia="Times New Roman" w:hAnsi="Times New Roman" w:cs="Times New Roman"/>
          <w:sz w:val="24"/>
          <w:szCs w:val="24"/>
          <w:lang w:val="en-GB" w:eastAsia="en-US"/>
        </w:rPr>
        <w:t>nal constitution, international agreements and national laws thus whether it is aimed to conduct business and perform for public or private interest and benefit. Yet the association does not have a mandatory obligation to be registered as the public benefi</w:t>
      </w:r>
      <w:r>
        <w:rPr>
          <w:rFonts w:ascii="Times New Roman" w:eastAsia="Times New Roman" w:hAnsi="Times New Roman" w:cs="Times New Roman"/>
          <w:sz w:val="24"/>
          <w:szCs w:val="24"/>
          <w:lang w:val="en-GB" w:eastAsia="en-US"/>
        </w:rPr>
        <w:t>t organisation even if it is performing to the public benefit. In case the organisation is acting for the private benefit of the members of association it is important to establish the number of members of association for whose benefit it is performing. In</w:t>
      </w:r>
      <w:r>
        <w:rPr>
          <w:rFonts w:ascii="Times New Roman" w:eastAsia="Times New Roman" w:hAnsi="Times New Roman" w:cs="Times New Roman"/>
          <w:sz w:val="24"/>
          <w:szCs w:val="24"/>
          <w:lang w:val="en-GB" w:eastAsia="en-US"/>
        </w:rPr>
        <w:t xml:space="preserve"> case there is a large number of such persons then identification of a beneficial owner will be impossible, unless there will be one or multiple persons who will fit within the previously identified definition of the beneficial owner. Thus two elements tha</w:t>
      </w:r>
      <w:r>
        <w:rPr>
          <w:rFonts w:ascii="Times New Roman" w:eastAsia="Times New Roman" w:hAnsi="Times New Roman" w:cs="Times New Roman"/>
          <w:sz w:val="24"/>
          <w:szCs w:val="24"/>
          <w:lang w:val="en-GB" w:eastAsia="en-US"/>
        </w:rPr>
        <w:t xml:space="preserve">t are the most important to establish the applicability of section 1 sub-section 5 or section 18 sub-section 7 are the aim of activities conducted by the association and number of its members and their shareholding rights.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lv-LV" w:eastAsia="en-US"/>
        </w:rPr>
        <w:t xml:space="preserve">Analogical beneficial ownership </w:t>
      </w:r>
      <w:r>
        <w:rPr>
          <w:rFonts w:ascii="Times New Roman" w:eastAsia="Times New Roman" w:hAnsi="Times New Roman" w:cs="Times New Roman"/>
          <w:sz w:val="24"/>
          <w:szCs w:val="24"/>
          <w:lang w:val="lv-LV" w:eastAsia="en-US"/>
        </w:rPr>
        <w:t>identification process and principles will be applicable to trade unions and political parties. The number of members as well as in case of the association is of high importance in case of these legal forms of business. As well as what and how the rights o</w:t>
      </w:r>
      <w:r>
        <w:rPr>
          <w:rFonts w:ascii="Times New Roman" w:eastAsia="Times New Roman" w:hAnsi="Times New Roman" w:cs="Times New Roman"/>
          <w:sz w:val="24"/>
          <w:szCs w:val="24"/>
          <w:lang w:val="lv-LV" w:eastAsia="en-US"/>
        </w:rPr>
        <w:t xml:space="preserve">f the members are exercised </w:t>
      </w:r>
      <w:r>
        <w:rPr>
          <w:rFonts w:ascii="Times New Roman" w:eastAsia="Times New Roman" w:hAnsi="Times New Roman" w:cs="Times New Roman"/>
          <w:sz w:val="24"/>
          <w:szCs w:val="24"/>
          <w:lang w:val="en-GB" w:eastAsia="en-US"/>
        </w:rPr>
        <w:t xml:space="preserve">will define whether </w:t>
      </w:r>
      <w:r>
        <w:rPr>
          <w:rFonts w:ascii="Times New Roman" w:eastAsia="Times New Roman" w:hAnsi="Times New Roman" w:cs="Times New Roman"/>
          <w:sz w:val="24"/>
          <w:szCs w:val="24"/>
          <w:lang w:val="lv-LV" w:eastAsia="en-US"/>
        </w:rPr>
        <w:t>beneficial owner will be identifiable</w:t>
      </w:r>
      <w:r>
        <w:rPr>
          <w:rFonts w:ascii="Times New Roman" w:eastAsia="Times New Roman" w:hAnsi="Times New Roman" w:cs="Times New Roman"/>
          <w:sz w:val="24"/>
          <w:szCs w:val="24"/>
          <w:lang w:val="en-GB" w:eastAsia="en-US"/>
        </w:rPr>
        <w:t>. U</w:t>
      </w:r>
      <w:r>
        <w:rPr>
          <w:rFonts w:ascii="Times New Roman" w:eastAsia="Times New Roman" w:hAnsi="Times New Roman" w:cs="Times New Roman"/>
          <w:sz w:val="24"/>
          <w:szCs w:val="24"/>
          <w:lang w:val="lv-LV" w:eastAsia="en-US"/>
        </w:rPr>
        <w:t>nless the persons of the executive body as natural persons are performing decision-making for their own benefit in other words exercising effective control</w:t>
      </w:r>
      <w:r>
        <w:rPr>
          <w:rFonts w:ascii="Times New Roman" w:eastAsia="Times New Roman" w:hAnsi="Times New Roman" w:cs="Times New Roman"/>
          <w:sz w:val="24"/>
          <w:szCs w:val="24"/>
          <w:lang w:val="en-GB" w:eastAsia="en-US"/>
        </w:rPr>
        <w:t>, the benefic</w:t>
      </w:r>
      <w:r>
        <w:rPr>
          <w:rFonts w:ascii="Times New Roman" w:eastAsia="Times New Roman" w:hAnsi="Times New Roman" w:cs="Times New Roman"/>
          <w:sz w:val="24"/>
          <w:szCs w:val="24"/>
          <w:lang w:val="en-GB" w:eastAsia="en-US"/>
        </w:rPr>
        <w:t xml:space="preserve">ial owner is likely not to exist within the scope of section 1 subsection 5 of the Law. As well as in cases when members of the association do not exercise their rights in such legal entity, only such persons that perform the decision making and effective </w:t>
      </w:r>
      <w:r>
        <w:rPr>
          <w:rFonts w:ascii="Times New Roman" w:eastAsia="Times New Roman" w:hAnsi="Times New Roman" w:cs="Times New Roman"/>
          <w:sz w:val="24"/>
          <w:szCs w:val="24"/>
          <w:lang w:val="en-GB" w:eastAsia="en-US"/>
        </w:rPr>
        <w:t>control for example the natural person of the board will be the beneficial owners. Or even in case when the natural person is not exercising any of his rights, but receives benefits from the assets of the organisation he shall be presumed as the beneficial</w:t>
      </w:r>
      <w:r>
        <w:rPr>
          <w:rFonts w:ascii="Times New Roman" w:eastAsia="Times New Roman" w:hAnsi="Times New Roman" w:cs="Times New Roman"/>
          <w:sz w:val="24"/>
          <w:szCs w:val="24"/>
          <w:lang w:val="en-GB" w:eastAsia="en-US"/>
        </w:rPr>
        <w:t xml:space="preserve"> owner</w:t>
      </w:r>
      <w:r>
        <w:rPr>
          <w:rFonts w:ascii="Times New Roman" w:eastAsia="Times New Roman" w:hAnsi="Times New Roman" w:cs="Times New Roman"/>
          <w:sz w:val="24"/>
          <w:szCs w:val="24"/>
          <w:vertAlign w:val="superscript"/>
          <w:lang w:val="en-GB" w:eastAsia="en-US"/>
        </w:rPr>
        <w:footnoteReference w:id="92"/>
      </w:r>
      <w:r>
        <w:rPr>
          <w:rFonts w:ascii="Times New Roman" w:eastAsia="Times New Roman" w:hAnsi="Times New Roman" w:cs="Times New Roman"/>
          <w:sz w:val="24"/>
          <w:szCs w:val="24"/>
          <w:lang w:val="en-GB" w:eastAsia="en-US"/>
        </w:rPr>
        <w:t xml:space="preserve">.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These legal forms of business may be considered as the most difficult ones regarding the beneficial owner identification. </w:t>
      </w:r>
    </w:p>
    <w:p w:rsidR="003540B4" w:rsidRDefault="003540B4">
      <w:pPr>
        <w:pStyle w:val="NormalWeb"/>
        <w:shd w:val="clear" w:color="auto" w:fill="FFFFFF"/>
        <w:spacing w:line="195" w:lineRule="atLeast"/>
        <w:rPr>
          <w:rFonts w:ascii="Arial" w:hAnsi="Arial" w:cs="Arial"/>
          <w:color w:val="FF0000"/>
          <w:sz w:val="13"/>
          <w:szCs w:val="13"/>
          <w:shd w:val="clear" w:color="auto" w:fill="FFFFFF"/>
          <w:lang w:val="en-GB"/>
        </w:rPr>
      </w:pPr>
    </w:p>
    <w:p w:rsidR="003540B4" w:rsidRDefault="008C0147">
      <w:pPr>
        <w:rPr>
          <w:lang w:val="en-GB" w:eastAsia="ru-RU"/>
        </w:rPr>
      </w:pPr>
      <w:r>
        <w:rPr>
          <w:color w:val="FF0000"/>
          <w:lang w:val="en-GB"/>
        </w:rPr>
        <w:t xml:space="preserve"> </w:t>
      </w:r>
    </w:p>
    <w:p w:rsidR="003540B4" w:rsidRDefault="003540B4">
      <w:pPr>
        <w:rPr>
          <w:lang w:val="en-GB" w:eastAsia="ru-RU"/>
        </w:rPr>
      </w:pPr>
    </w:p>
    <w:p w:rsidR="003540B4" w:rsidRDefault="008C0147">
      <w:pPr>
        <w:rPr>
          <w:rFonts w:ascii="Times New Roman" w:eastAsiaTheme="majorEastAsia" w:hAnsi="Times New Roman"/>
          <w:color w:val="000000" w:themeColor="text1"/>
          <w:lang w:val="en-GB" w:eastAsia="ru-RU"/>
        </w:rPr>
      </w:pPr>
      <w:r>
        <w:rPr>
          <w:rFonts w:ascii="SimSun" w:hAnsi="SimSun" w:cs="SimSun"/>
          <w:color w:val="FF0000"/>
          <w:sz w:val="24"/>
          <w:szCs w:val="24"/>
          <w:lang w:val="en-GB"/>
        </w:rPr>
        <w:br w:type="page"/>
      </w:r>
      <w:bookmarkStart w:id="48" w:name="_Toc4010"/>
    </w:p>
    <w:p w:rsidR="003540B4" w:rsidRDefault="008C0147">
      <w:pPr>
        <w:pStyle w:val="RGSLHeading2"/>
        <w:numPr>
          <w:ilvl w:val="0"/>
          <w:numId w:val="0"/>
        </w:numPr>
        <w:spacing w:line="240" w:lineRule="auto"/>
        <w:ind w:left="567" w:right="709"/>
        <w:rPr>
          <w:rFonts w:ascii="Times New Roman" w:eastAsiaTheme="majorEastAsia" w:hAnsi="Times New Roman" w:hint="default"/>
          <w:color w:val="000000" w:themeColor="text1"/>
          <w:lang w:val="en-GB" w:eastAsia="ru-RU"/>
        </w:rPr>
      </w:pPr>
      <w:r>
        <w:rPr>
          <w:rFonts w:ascii="Times New Roman" w:eastAsiaTheme="majorEastAsia" w:hAnsi="Times New Roman" w:hint="default"/>
          <w:color w:val="000000" w:themeColor="text1"/>
          <w:lang w:val="en-GB" w:eastAsia="ru-RU"/>
        </w:rPr>
        <w:t>4.6. Case Law</w:t>
      </w:r>
      <w:bookmarkEnd w:id="48"/>
    </w:p>
    <w:p w:rsidR="003540B4" w:rsidRDefault="008C0147">
      <w:pPr>
        <w:pStyle w:val="RGSLNormalwithindentation"/>
        <w:ind w:firstLine="0"/>
        <w:jc w:val="both"/>
        <w:rPr>
          <w:lang w:val="en-GB"/>
        </w:rPr>
      </w:pPr>
      <w:r>
        <w:rPr>
          <w:rFonts w:ascii="Times New Roman" w:eastAsia="Times New Roman" w:hAnsi="Times New Roman" w:cs="Times New Roman"/>
          <w:sz w:val="24"/>
          <w:szCs w:val="24"/>
          <w:lang w:val="en-GB"/>
        </w:rPr>
        <w:t>As such in national case law the term beneficial owner is commonly used in court ruling, as it is always necessary to establish the beneficial owner of the legal person or arrangement who is representing one of the sides in the court proceeding. At the sam</w:t>
      </w:r>
      <w:r>
        <w:rPr>
          <w:rFonts w:ascii="Times New Roman" w:eastAsia="Times New Roman" w:hAnsi="Times New Roman" w:cs="Times New Roman"/>
          <w:sz w:val="24"/>
          <w:szCs w:val="24"/>
          <w:lang w:val="en-GB"/>
        </w:rPr>
        <w:t xml:space="preserve">e time no case law was found to specifically evaluate the application of the term and its scope of definition. Aim of this chapter of research conducted in this paper is to provide the reader with overall understanding of the implementation of the term in </w:t>
      </w:r>
      <w:r>
        <w:rPr>
          <w:rFonts w:ascii="Times New Roman" w:eastAsia="Times New Roman" w:hAnsi="Times New Roman" w:cs="Times New Roman"/>
          <w:sz w:val="24"/>
          <w:szCs w:val="24"/>
          <w:lang w:val="en-GB"/>
        </w:rPr>
        <w:t xml:space="preserve">the case law as well as to </w:t>
      </w:r>
      <w:r>
        <w:rPr>
          <w:rFonts w:ascii="Times New Roman" w:eastAsia="Times New Roman" w:hAnsi="Times New Roman" w:cs="Times New Roman"/>
          <w:sz w:val="24"/>
          <w:szCs w:val="24"/>
          <w:lang w:val="lv-LV"/>
        </w:rPr>
        <w:t xml:space="preserve">research case </w:t>
      </w:r>
      <w:r>
        <w:rPr>
          <w:rFonts w:ascii="Times New Roman" w:eastAsia="Times New Roman" w:hAnsi="Times New Roman" w:cs="Times New Roman"/>
          <w:sz w:val="24"/>
          <w:szCs w:val="24"/>
          <w:lang w:val="en-GB"/>
        </w:rPr>
        <w:t>Nr</w:t>
      </w:r>
      <w:r>
        <w:rPr>
          <w:rFonts w:ascii="Times New Roman" w:eastAsia="Times New Roman" w:hAnsi="Times New Roman" w:cs="Times New Roman"/>
          <w:sz w:val="24"/>
          <w:szCs w:val="24"/>
          <w:lang w:eastAsia="ru-RU"/>
        </w:rPr>
        <w:t xml:space="preserve"> A42-00196-21/18</w:t>
      </w:r>
      <w:r>
        <w:rPr>
          <w:rFonts w:ascii="Times New Roman" w:eastAsia="Times New Roman" w:hAnsi="Times New Roman" w:cs="Times New Roman"/>
          <w:sz w:val="24"/>
          <w:szCs w:val="24"/>
          <w:lang w:val="lv-LV" w:eastAsia="ru-RU"/>
        </w:rPr>
        <w:t xml:space="preserve"> as an example of importance of the ownership structure identification process as well as information accessibility to the general public</w:t>
      </w:r>
    </w:p>
    <w:p w:rsidR="003540B4" w:rsidRDefault="008C0147">
      <w:pPr>
        <w:pStyle w:val="RGSLNormalwithindentation"/>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In case Nr </w:t>
      </w:r>
      <w:r>
        <w:rPr>
          <w:rFonts w:ascii="Times New Roman" w:eastAsia="Times New Roman" w:hAnsi="Times New Roman" w:cs="Times New Roman"/>
          <w:sz w:val="24"/>
          <w:szCs w:val="24"/>
          <w:lang w:eastAsia="ru-RU"/>
        </w:rPr>
        <w:t>A42-00223-21/15</w:t>
      </w:r>
      <w:r>
        <w:rPr>
          <w:rFonts w:ascii="Times New Roman" w:eastAsia="Times New Roman" w:hAnsi="Times New Roman" w:cs="Times New Roman"/>
          <w:sz w:val="24"/>
          <w:szCs w:val="24"/>
          <w:lang w:val="en-GB" w:eastAsia="ru-RU"/>
        </w:rPr>
        <w:t xml:space="preserve"> made by Administrative District </w:t>
      </w:r>
      <w:r>
        <w:rPr>
          <w:rFonts w:ascii="Times New Roman" w:eastAsia="Times New Roman" w:hAnsi="Times New Roman" w:cs="Times New Roman"/>
          <w:sz w:val="24"/>
          <w:szCs w:val="24"/>
          <w:lang w:val="en-GB" w:eastAsia="ru-RU"/>
        </w:rPr>
        <w:t xml:space="preserve">Court in Riga on April 9, 2021 the courts statement on the beneficial owner of the limited liability company at the same time holding the position in the senior management of the company might be found contradictory.  </w:t>
      </w:r>
      <w:r>
        <w:rPr>
          <w:rFonts w:ascii="Times New Roman" w:eastAsia="Times New Roman" w:hAnsi="Times New Roman" w:cs="Times New Roman"/>
          <w:sz w:val="24"/>
          <w:szCs w:val="24"/>
          <w:lang w:val="en-GB"/>
        </w:rPr>
        <w:t>Regarding the facts of the case: the a</w:t>
      </w:r>
      <w:r>
        <w:rPr>
          <w:rFonts w:ascii="Times New Roman" w:eastAsia="Times New Roman" w:hAnsi="Times New Roman" w:cs="Times New Roman"/>
          <w:sz w:val="24"/>
          <w:szCs w:val="24"/>
          <w:lang w:val="en-GB"/>
        </w:rPr>
        <w:t>pplicant has filed for the tax return and later on was denied by respective authority</w:t>
      </w:r>
      <w:r>
        <w:rPr>
          <w:rFonts w:ascii="Times New Roman" w:eastAsia="Times New Roman" w:hAnsi="Times New Roman" w:cs="Times New Roman"/>
          <w:sz w:val="24"/>
          <w:szCs w:val="24"/>
          <w:lang w:val="lv-LV"/>
        </w:rPr>
        <w:t xml:space="preserve"> ( State Revenue Service)</w:t>
      </w:r>
      <w:r>
        <w:rPr>
          <w:rFonts w:ascii="Times New Roman" w:eastAsia="Times New Roman" w:hAnsi="Times New Roman" w:cs="Times New Roman"/>
          <w:sz w:val="24"/>
          <w:szCs w:val="24"/>
          <w:lang w:val="en-GB"/>
        </w:rPr>
        <w:t xml:space="preserve"> in such on the basis of lack of transparency and good faith in the committed transaction on the basis of which the claim was filed. The court had to evaluate the appellation of the claimant on the legality of such decision. And in the process of evaluatio</w:t>
      </w:r>
      <w:r>
        <w:rPr>
          <w:rFonts w:ascii="Times New Roman" w:eastAsia="Times New Roman" w:hAnsi="Times New Roman" w:cs="Times New Roman"/>
          <w:sz w:val="24"/>
          <w:szCs w:val="24"/>
          <w:lang w:val="en-GB"/>
        </w:rPr>
        <w:t>n has</w:t>
      </w:r>
      <w:r>
        <w:rPr>
          <w:rFonts w:ascii="Times New Roman" w:eastAsia="Times New Roman" w:hAnsi="Times New Roman" w:cs="Times New Roman"/>
          <w:sz w:val="24"/>
          <w:szCs w:val="24"/>
          <w:lang w:val="lv-LV"/>
        </w:rPr>
        <w:t xml:space="preserve"> indirectly agreed on the defendants statement </w:t>
      </w:r>
      <w:r>
        <w:rPr>
          <w:rFonts w:ascii="Times New Roman" w:eastAsia="Times New Roman" w:hAnsi="Times New Roman" w:cs="Times New Roman"/>
          <w:sz w:val="24"/>
          <w:szCs w:val="24"/>
          <w:lang w:val="en-GB"/>
        </w:rPr>
        <w:t>previously cited. As such it has identified that in case when one natural person is both the beneficial owner and is holding the position in senior management of the board of the legal person increases th</w:t>
      </w:r>
      <w:r>
        <w:rPr>
          <w:rFonts w:ascii="Times New Roman" w:eastAsia="Times New Roman" w:hAnsi="Times New Roman" w:cs="Times New Roman"/>
          <w:sz w:val="24"/>
          <w:szCs w:val="24"/>
          <w:lang w:val="en-GB"/>
        </w:rPr>
        <w:t>e possibility of unfair commercial practices and actions. Statement with the following context was made by the defendant in the court proceeding that actions made by the applicant may be estimated as the ones of the in-transparent and unfair commercial pra</w:t>
      </w:r>
      <w:r>
        <w:rPr>
          <w:rFonts w:ascii="Times New Roman" w:eastAsia="Times New Roman" w:hAnsi="Times New Roman" w:cs="Times New Roman"/>
          <w:sz w:val="24"/>
          <w:szCs w:val="24"/>
          <w:lang w:val="en-GB"/>
        </w:rPr>
        <w:t>ctice. The econometric justification of the business activity of the applicant was questionable overall as such action as were reviewed in the facts of the case identify that the applicant has not assessed the risks of sustainability of economic activity.</w:t>
      </w:r>
      <w:r>
        <w:rPr>
          <w:rFonts w:ascii="Times New Roman" w:eastAsia="Times New Roman" w:hAnsi="Times New Roman" w:cs="Times New Roman"/>
          <w:sz w:val="24"/>
          <w:szCs w:val="24"/>
          <w:lang w:val="en-GB"/>
        </w:rPr>
        <w:footnoteReference w:id="93"/>
      </w:r>
    </w:p>
    <w:p w:rsidR="003540B4" w:rsidRDefault="008C0147">
      <w:pPr>
        <w:pStyle w:val="RGSLNormalwithindentation"/>
        <w:jc w:val="both"/>
        <w:rPr>
          <w:rFonts w:ascii="Times New Roman" w:eastAsia="Times New Roman" w:hAnsi="Times New Roman" w:cs="Times New Roman"/>
          <w:sz w:val="24"/>
          <w:szCs w:val="24"/>
          <w:lang w:val="en-GB" w:eastAsia="ru-RU"/>
        </w:rPr>
      </w:pPr>
      <w:r>
        <w:rPr>
          <w:rFonts w:ascii="Times New Roman" w:eastAsia="Times New Roman" w:hAnsi="Times New Roman" w:cs="Times New Roman"/>
          <w:sz w:val="24"/>
          <w:szCs w:val="24"/>
          <w:lang w:val="en-GB"/>
        </w:rPr>
        <w:t>The next court decision serves as an example of importance of the beneficial owner identification process and what unpleasant consequences the legal person may have due to its ownership structure and business relationships. The case Nr</w:t>
      </w:r>
      <w:r>
        <w:rPr>
          <w:rFonts w:ascii="Times New Roman" w:eastAsia="Times New Roman" w:hAnsi="Times New Roman" w:cs="Times New Roman"/>
          <w:sz w:val="24"/>
          <w:szCs w:val="24"/>
          <w:lang w:eastAsia="ru-RU"/>
        </w:rPr>
        <w:t xml:space="preserve"> A42-00196-21/18</w:t>
      </w:r>
      <w:r>
        <w:rPr>
          <w:rFonts w:ascii="Times New Roman" w:eastAsia="Times New Roman" w:hAnsi="Times New Roman" w:cs="Times New Roman"/>
          <w:sz w:val="24"/>
          <w:szCs w:val="24"/>
          <w:lang w:val="en-GB" w:eastAsia="ru-RU"/>
        </w:rPr>
        <w:t xml:space="preserve"> dec</w:t>
      </w:r>
      <w:r>
        <w:rPr>
          <w:rFonts w:ascii="Times New Roman" w:eastAsia="Times New Roman" w:hAnsi="Times New Roman" w:cs="Times New Roman"/>
          <w:sz w:val="24"/>
          <w:szCs w:val="24"/>
          <w:lang w:val="en-GB" w:eastAsia="ru-RU"/>
        </w:rPr>
        <w:t>ided by The Administrative District in Riga on April 20, 2021 represents a factual application of the definition of the beneficial owner within the scope of the court proceeding. Facts of the case are following: the applicant limited liability company “Bal</w:t>
      </w:r>
      <w:r>
        <w:rPr>
          <w:rFonts w:ascii="Times New Roman" w:eastAsia="Times New Roman" w:hAnsi="Times New Roman" w:cs="Times New Roman"/>
          <w:sz w:val="24"/>
          <w:szCs w:val="24"/>
          <w:lang w:val="en-GB" w:eastAsia="ru-RU"/>
        </w:rPr>
        <w:t>tic First Channel” has been issued a retransmission permit to show specific list of programmes in the territory of Latvia with No 170 given by the respective authority- the National Electronic Media Council. By the  Council Decision no. 224 it was banned t</w:t>
      </w:r>
      <w:r>
        <w:rPr>
          <w:rFonts w:ascii="Times New Roman" w:eastAsia="Times New Roman" w:hAnsi="Times New Roman" w:cs="Times New Roman"/>
          <w:sz w:val="24"/>
          <w:szCs w:val="24"/>
          <w:lang w:val="en-GB" w:eastAsia="ru-RU"/>
        </w:rPr>
        <w:t>o re-translate the programmes to which it has been previously given a permission  number 170 previously mentioned with list of programmes indicated in such. With that decision ( number 224) it was retrieved the rights to show the programmes in public elect</w:t>
      </w:r>
      <w:r>
        <w:rPr>
          <w:rFonts w:ascii="Times New Roman" w:eastAsia="Times New Roman" w:hAnsi="Times New Roman" w:cs="Times New Roman"/>
          <w:sz w:val="24"/>
          <w:szCs w:val="24"/>
          <w:lang w:val="en-GB" w:eastAsia="ru-RU"/>
        </w:rPr>
        <w:t xml:space="preserve">ronic communications networks in the territory of the Republic of Latvia until the sanction imposed by the Council of the European Union on Ukraine territorial integrity, sovereignty and independence will be lifted in relation ot a person who was found to </w:t>
      </w:r>
      <w:r>
        <w:rPr>
          <w:rFonts w:ascii="Times New Roman" w:eastAsia="Times New Roman" w:hAnsi="Times New Roman" w:cs="Times New Roman"/>
          <w:sz w:val="24"/>
          <w:szCs w:val="24"/>
          <w:lang w:val="en-GB" w:eastAsia="ru-RU"/>
        </w:rPr>
        <w:t xml:space="preserve">be in direct or indirect relation to the television programmes to which the permission has been previously issued. In the process of a court proceeding section regarding the decision court decision part dedicated to the description of factual </w:t>
      </w:r>
      <w:r>
        <w:rPr>
          <w:rFonts w:ascii="Times New Roman" w:eastAsia="Times New Roman" w:hAnsi="Times New Roman" w:cs="Times New Roman"/>
          <w:sz w:val="24"/>
          <w:szCs w:val="24"/>
          <w:lang w:eastAsia="ru-RU"/>
        </w:rPr>
        <w:t>circumstances</w:t>
      </w:r>
      <w:r>
        <w:rPr>
          <w:rFonts w:ascii="Times New Roman" w:eastAsia="Times New Roman" w:hAnsi="Times New Roman" w:cs="Times New Roman"/>
          <w:sz w:val="24"/>
          <w:szCs w:val="24"/>
          <w:lang w:val="en-GB" w:eastAsia="ru-RU"/>
        </w:rPr>
        <w:t xml:space="preserve"> of the case it was stated that the Council has received the information form the The National Security Authority the  programs were part of a Russian media holding company. In that holding company itself one of the real for beneficiaries  is included in t</w:t>
      </w:r>
      <w:r>
        <w:rPr>
          <w:rFonts w:ascii="Times New Roman" w:eastAsia="Times New Roman" w:hAnsi="Times New Roman" w:cs="Times New Roman"/>
          <w:sz w:val="24"/>
          <w:szCs w:val="24"/>
          <w:lang w:val="en-GB" w:eastAsia="ru-RU"/>
        </w:rPr>
        <w:t>he sanctions list enforced by the Council of the European Union. As allowance to distribute the programme ( transfer of the distribution rights) is commonly takes place for a certain fee to the initial holder of the distribution and possible creators right</w:t>
      </w:r>
      <w:r>
        <w:rPr>
          <w:rFonts w:ascii="Times New Roman" w:eastAsia="Times New Roman" w:hAnsi="Times New Roman" w:cs="Times New Roman"/>
          <w:sz w:val="24"/>
          <w:szCs w:val="24"/>
          <w:lang w:val="en-GB" w:eastAsia="ru-RU"/>
        </w:rPr>
        <w:t>s. It leads to the conclusion that person A ( the beneficial owner of the previously mentioned Russian media holding company) who is in the sanctions list will derive or receive income from the distribution of the indicated television programs in the terri</w:t>
      </w:r>
      <w:r>
        <w:rPr>
          <w:rFonts w:ascii="Times New Roman" w:eastAsia="Times New Roman" w:hAnsi="Times New Roman" w:cs="Times New Roman"/>
          <w:sz w:val="24"/>
          <w:szCs w:val="24"/>
          <w:lang w:val="en-GB" w:eastAsia="ru-RU"/>
        </w:rPr>
        <w:t>tory of Latvia. Even though the applicant stated that in the process of the court proceeding there has been presented no evidence proving that the person- beneficial owner will personally received any payment or income from the acquisition of retransmissio</w:t>
      </w:r>
      <w:r>
        <w:rPr>
          <w:rFonts w:ascii="Times New Roman" w:eastAsia="Times New Roman" w:hAnsi="Times New Roman" w:cs="Times New Roman"/>
          <w:sz w:val="24"/>
          <w:szCs w:val="24"/>
          <w:lang w:val="en-GB" w:eastAsia="ru-RU"/>
        </w:rPr>
        <w:t>n rights, as well as that he meets the requirements to be assigned the beneficial owner status. Concluding statement of the court on the matter of the person fitting within the scope of the definition of the beneficial owner was following. In Annex section</w:t>
      </w:r>
      <w:r>
        <w:rPr>
          <w:rFonts w:ascii="Times New Roman" w:eastAsia="Times New Roman" w:hAnsi="Times New Roman" w:cs="Times New Roman"/>
          <w:sz w:val="24"/>
          <w:szCs w:val="24"/>
          <w:lang w:val="en-GB" w:eastAsia="ru-RU"/>
        </w:rPr>
        <w:t xml:space="preserve"> I of the sanction list of persons of the European Union person A is indicated as subject of the sanctions as receives certain benefits from links with Russian decision-makers. Person A is the Chairman and largest shareholder of Bank Rossiya. It was indica</w:t>
      </w:r>
      <w:r>
        <w:rPr>
          <w:rFonts w:ascii="Times New Roman" w:eastAsia="Times New Roman" w:hAnsi="Times New Roman" w:cs="Times New Roman"/>
          <w:sz w:val="24"/>
          <w:szCs w:val="24"/>
          <w:lang w:val="en-GB" w:eastAsia="ru-RU"/>
        </w:rPr>
        <w:t>ted that 38 percents of the shares of the bank belonged to him in year 2013. It was stated that Bank Rossiya could be considered as Russian Personal Bank of Senior Officials of the Russian Federation. It was as well indicated that the bank has opened its b</w:t>
      </w:r>
      <w:r>
        <w:rPr>
          <w:rFonts w:ascii="Times New Roman" w:eastAsia="Times New Roman" w:hAnsi="Times New Roman" w:cs="Times New Roman"/>
          <w:sz w:val="24"/>
          <w:szCs w:val="24"/>
          <w:lang w:val="en-GB" w:eastAsia="ru-RU"/>
        </w:rPr>
        <w:t>ranches in Crimea and Sevastopol since the moment of illegal annexation of Crimea. It was considered that by such actions the bank has stimulated those regions consolidation of integration as part of the Russian Federation. Second important fact of the cas</w:t>
      </w:r>
      <w:r>
        <w:rPr>
          <w:rFonts w:ascii="Times New Roman" w:eastAsia="Times New Roman" w:hAnsi="Times New Roman" w:cs="Times New Roman"/>
          <w:sz w:val="24"/>
          <w:szCs w:val="24"/>
          <w:lang w:val="en-GB" w:eastAsia="ru-RU"/>
        </w:rPr>
        <w:t>e is that the bank is an owner of a significant part of the National Media Group. This private media holding contains assets of key segments in the media market</w:t>
      </w:r>
      <w:r>
        <w:rPr>
          <w:rFonts w:ascii="Times New Roman" w:eastAsia="Times New Roman" w:hAnsi="Times New Roman" w:cs="Times New Roman"/>
          <w:sz w:val="24"/>
          <w:szCs w:val="24"/>
          <w:vertAlign w:val="superscript"/>
          <w:lang w:val="en-GB" w:eastAsia="ru-RU"/>
        </w:rPr>
        <w:footnoteReference w:id="94"/>
      </w:r>
      <w:r>
        <w:rPr>
          <w:rFonts w:ascii="Times New Roman" w:eastAsia="Times New Roman" w:hAnsi="Times New Roman" w:cs="Times New Roman"/>
          <w:sz w:val="24"/>
          <w:szCs w:val="24"/>
          <w:lang w:val="en-GB" w:eastAsia="ru-RU"/>
        </w:rPr>
        <w:t xml:space="preserve"> and is believed not to only control and rule the television channels that are belonging to the</w:t>
      </w:r>
      <w:r>
        <w:rPr>
          <w:rFonts w:ascii="Times New Roman" w:eastAsia="Times New Roman" w:hAnsi="Times New Roman" w:cs="Times New Roman"/>
          <w:sz w:val="24"/>
          <w:szCs w:val="24"/>
          <w:lang w:val="en-GB" w:eastAsia="ru-RU"/>
        </w:rPr>
        <w:t>m, but also use such resources to diligently support the Russian government's policy of destabilization in Ukraine. After getting acquainted with the information and evidence available at the disposal of the Latvian State Security Service regarding the rel</w:t>
      </w:r>
      <w:r>
        <w:rPr>
          <w:rFonts w:ascii="Times New Roman" w:eastAsia="Times New Roman" w:hAnsi="Times New Roman" w:cs="Times New Roman"/>
          <w:sz w:val="24"/>
          <w:szCs w:val="24"/>
          <w:lang w:val="en-GB" w:eastAsia="ru-RU"/>
        </w:rPr>
        <w:t>ation of the person A to the National Media Group</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val="en-GB" w:eastAsia="ru-RU"/>
        </w:rPr>
        <w:t>he was recognised as a person fitting within the existing definition of the beneficial owner. The television channels which are under control and disposal of the media holding are considered to distribute t</w:t>
      </w:r>
      <w:r>
        <w:rPr>
          <w:rFonts w:ascii="Times New Roman" w:eastAsia="Times New Roman" w:hAnsi="Times New Roman" w:cs="Times New Roman"/>
          <w:sz w:val="24"/>
          <w:szCs w:val="24"/>
          <w:lang w:val="en-GB" w:eastAsia="ru-RU"/>
        </w:rPr>
        <w:t>he information which is identified as prohibited by the contested decision. As well the court has made reference to the National Media Group website where it was indicated that it is a shareholder of the 29 percents of shares of the first Baltic Channel. T</w:t>
      </w:r>
      <w:r>
        <w:rPr>
          <w:rFonts w:ascii="Times New Roman" w:eastAsia="Times New Roman" w:hAnsi="Times New Roman" w:cs="Times New Roman"/>
          <w:sz w:val="24"/>
          <w:szCs w:val="24"/>
          <w:lang w:val="en-GB" w:eastAsia="ru-RU"/>
        </w:rPr>
        <w:t>he judiciary has stated that even though the applicant is prohibited to to get acquainted with documents at the disposal of State Security Service he has been aware of its ownership structure and considerations which have served as the basis of the appeal.</w:t>
      </w:r>
      <w:r>
        <w:rPr>
          <w:rFonts w:ascii="Times New Roman" w:eastAsia="Times New Roman" w:hAnsi="Times New Roman" w:cs="Times New Roman"/>
          <w:sz w:val="24"/>
          <w:szCs w:val="24"/>
          <w:lang w:val="en-GB" w:eastAsia="ru-RU"/>
        </w:rPr>
        <w:t xml:space="preserve">   The Court notes that the applicants were aware of the considerations on which the appeal is based, even if it is prohibited to get acquainted with the evidence at the disposal of the State Security Service. </w:t>
      </w:r>
    </w:p>
    <w:p w:rsidR="003540B4" w:rsidRDefault="008C0147">
      <w:pPr>
        <w:pStyle w:val="RGSLNormalwithindentation"/>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As such thus case shows the importance of the</w:t>
      </w:r>
      <w:r>
        <w:rPr>
          <w:rFonts w:ascii="Times New Roman" w:eastAsia="Times New Roman" w:hAnsi="Times New Roman" w:cs="Times New Roman"/>
          <w:sz w:val="24"/>
          <w:szCs w:val="24"/>
          <w:lang w:val="en-GB"/>
        </w:rPr>
        <w:t xml:space="preserve"> acknowledge of the ownership structure of the organisation itself as well as it its business partners, as it may lead to severe consequences, as shown in the previously mentioned example. Even though the applicant did not follow any unfair or illegal aims</w:t>
      </w:r>
      <w:r>
        <w:rPr>
          <w:rFonts w:ascii="Times New Roman" w:eastAsia="Times New Roman" w:hAnsi="Times New Roman" w:cs="Times New Roman"/>
          <w:sz w:val="24"/>
          <w:szCs w:val="24"/>
          <w:lang w:val="en-GB"/>
        </w:rPr>
        <w:t xml:space="preserve"> when receiving an re-translation rights or appealing to the revocation of such rights. The fact that the beneficial owner from such re-translation would be a person form the EU sanctions list is undeniable. It could be disputed that the information regard</w:t>
      </w:r>
      <w:r>
        <w:rPr>
          <w:rFonts w:ascii="Times New Roman" w:eastAsia="Times New Roman" w:hAnsi="Times New Roman" w:cs="Times New Roman"/>
          <w:sz w:val="24"/>
          <w:szCs w:val="24"/>
          <w:lang w:val="en-GB"/>
        </w:rPr>
        <w:t>ing the ownership rights to the bank from 2013 is out of date the information from the state Security Service shall be considered as truthful, as well as his relation ot the National Media Group holding. Ass a result the beneficial owner definition has ser</w:t>
      </w:r>
      <w:r>
        <w:rPr>
          <w:rFonts w:ascii="Times New Roman" w:eastAsia="Times New Roman" w:hAnsi="Times New Roman" w:cs="Times New Roman"/>
          <w:sz w:val="24"/>
          <w:szCs w:val="24"/>
          <w:lang w:val="en-GB"/>
        </w:rPr>
        <w:t>ved as the key element for the appleal declining decision of the court. It may be presumed, that if the person A was not fitting within the definition of the beneficial owner or was a minor shareholder in those organisations the judgement of the court coul</w:t>
      </w:r>
      <w:r>
        <w:rPr>
          <w:rFonts w:ascii="Times New Roman" w:eastAsia="Times New Roman" w:hAnsi="Times New Roman" w:cs="Times New Roman"/>
          <w:sz w:val="24"/>
          <w:szCs w:val="24"/>
          <w:lang w:val="en-GB"/>
        </w:rPr>
        <w:t>d have been different</w:t>
      </w:r>
      <w:r>
        <w:rPr>
          <w:rFonts w:ascii="Times New Roman" w:eastAsia="Times New Roman" w:hAnsi="Times New Roman" w:cs="Times New Roman"/>
          <w:sz w:val="24"/>
          <w:szCs w:val="24"/>
          <w:lang w:val="en-GB"/>
        </w:rPr>
        <w:footnoteReference w:id="95"/>
      </w:r>
      <w:r>
        <w:rPr>
          <w:rFonts w:ascii="Times New Roman" w:eastAsia="Times New Roman" w:hAnsi="Times New Roman" w:cs="Times New Roman"/>
          <w:sz w:val="24"/>
          <w:szCs w:val="24"/>
          <w:lang w:val="en-GB"/>
        </w:rPr>
        <w:t xml:space="preserve">.  </w:t>
      </w:r>
    </w:p>
    <w:p w:rsidR="003540B4" w:rsidRDefault="008C0147">
      <w:pPr>
        <w:rPr>
          <w:color w:val="FF0000"/>
          <w:lang w:val="en-GB"/>
        </w:rPr>
      </w:pPr>
      <w:r>
        <w:rPr>
          <w:color w:val="FF0000"/>
          <w:lang w:val="en-GB"/>
        </w:rPr>
        <w:br w:type="page"/>
      </w:r>
    </w:p>
    <w:p w:rsidR="003540B4" w:rsidRDefault="008C0147">
      <w:pPr>
        <w:pStyle w:val="RGSLheading11"/>
        <w:numPr>
          <w:ilvl w:val="0"/>
          <w:numId w:val="0"/>
        </w:numPr>
        <w:spacing w:line="240" w:lineRule="auto"/>
        <w:ind w:left="567" w:right="709"/>
        <w:rPr>
          <w:rFonts w:ascii="Times New Roman" w:eastAsiaTheme="majorEastAsia" w:hAnsi="Times New Roman" w:hint="default"/>
          <w:color w:val="000000" w:themeColor="text1"/>
          <w:lang w:val="en-GB"/>
        </w:rPr>
      </w:pPr>
      <w:bookmarkStart w:id="49" w:name="_Toc7175"/>
      <w:r>
        <w:rPr>
          <w:rFonts w:ascii="Times New Roman" w:eastAsiaTheme="majorEastAsia" w:hAnsi="Times New Roman" w:hint="default"/>
          <w:color w:val="000000" w:themeColor="text1"/>
          <w:lang w:val="en-GB"/>
        </w:rPr>
        <w:t>Conclusion.</w:t>
      </w:r>
      <w:bookmarkEnd w:id="49"/>
      <w:r>
        <w:rPr>
          <w:rFonts w:ascii="Times New Roman" w:eastAsiaTheme="majorEastAsia" w:hAnsi="Times New Roman" w:hint="default"/>
          <w:color w:val="000000" w:themeColor="text1"/>
          <w:lang w:val="en-GB"/>
        </w:rPr>
        <w:t xml:space="preserve"> </w:t>
      </w:r>
    </w:p>
    <w:p w:rsidR="003540B4" w:rsidRDefault="008C0147">
      <w:pPr>
        <w:pStyle w:val="RGSLNormal"/>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The aim set forward for this thesis-</w:t>
      </w:r>
      <w:r>
        <w:rPr>
          <w:rFonts w:ascii="Times New Roman" w:eastAsia="Times New Roman" w:hAnsi="Times New Roman" w:cs="Times New Roman"/>
          <w:sz w:val="24"/>
          <w:szCs w:val="24"/>
          <w:lang w:val="en-GB" w:eastAsia="en-US"/>
        </w:rPr>
        <w:t xml:space="preserve"> is to identify the characteristics that the natural person has to bear in order to be identified as the beneficial owner</w:t>
      </w:r>
      <w:r>
        <w:rPr>
          <w:rFonts w:ascii="Times New Roman" w:eastAsia="Times New Roman" w:hAnsi="Times New Roman" w:cs="Times New Roman"/>
          <w:sz w:val="24"/>
          <w:szCs w:val="24"/>
          <w:lang w:val="en-GB" w:eastAsia="en-US"/>
        </w:rPr>
        <w:t xml:space="preserve"> has been achieved. It was achieved by analysis of the development of the definition “Beneficial Owner” in the </w:t>
      </w:r>
      <w:r>
        <w:rPr>
          <w:rFonts w:ascii="Times New Roman" w:eastAsia="Times New Roman" w:hAnsi="Times New Roman" w:cs="Times New Roman"/>
          <w:sz w:val="24"/>
          <w:szCs w:val="24"/>
          <w:lang w:val="en-GB" w:eastAsia="en-US"/>
        </w:rPr>
        <w:t>European Union Anti Money Laundering directives</w:t>
      </w:r>
      <w:r>
        <w:rPr>
          <w:rFonts w:ascii="Times New Roman" w:eastAsia="Times New Roman" w:hAnsi="Times New Roman" w:cs="Times New Roman"/>
          <w:sz w:val="24"/>
          <w:szCs w:val="24"/>
          <w:lang w:val="en-GB" w:eastAsia="en-US"/>
        </w:rPr>
        <w:t xml:space="preserve"> and Latvian national AML legislation and fulfilling the objectives identified for the research.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Answering the first research question “</w:t>
      </w:r>
      <w:r>
        <w:rPr>
          <w:rFonts w:ascii="Times New Roman" w:eastAsia="Times New Roman" w:hAnsi="Times New Roman" w:cs="Times New Roman"/>
          <w:sz w:val="24"/>
          <w:szCs w:val="24"/>
          <w:lang w:val="en-GB" w:eastAsia="en-US"/>
        </w:rPr>
        <w:t>What are the main aspects that have changed and evolved during the development of the EU AML Legislation?</w:t>
      </w:r>
      <w:r>
        <w:rPr>
          <w:rFonts w:ascii="Times New Roman" w:eastAsia="Times New Roman" w:hAnsi="Times New Roman" w:cs="Times New Roman"/>
          <w:sz w:val="24"/>
          <w:szCs w:val="24"/>
          <w:lang w:val="en-GB" w:eastAsia="en-US"/>
        </w:rPr>
        <w:t>” following conclusions have been made. Even thought  t</w:t>
      </w:r>
      <w:r>
        <w:rPr>
          <w:rFonts w:ascii="Times New Roman" w:eastAsia="Times New Roman" w:hAnsi="Times New Roman" w:cs="Times New Roman"/>
          <w:sz w:val="24"/>
          <w:szCs w:val="24"/>
          <w:lang w:val="en-GB" w:eastAsia="en-US"/>
        </w:rPr>
        <w:t xml:space="preserve">he term “Beneficial owner” has been mentioned in all of </w:t>
      </w:r>
      <w:r>
        <w:rPr>
          <w:rFonts w:ascii="Times New Roman" w:eastAsia="Times New Roman" w:hAnsi="Times New Roman" w:cs="Times New Roman"/>
          <w:sz w:val="24"/>
          <w:szCs w:val="24"/>
          <w:lang w:val="en-GB" w:eastAsia="en-US"/>
        </w:rPr>
        <w:t>the European Union Anti Money Laundering directives</w:t>
      </w:r>
      <w:r>
        <w:rPr>
          <w:rFonts w:ascii="Times New Roman" w:eastAsia="Times New Roman" w:hAnsi="Times New Roman" w:cs="Times New Roman"/>
          <w:sz w:val="24"/>
          <w:szCs w:val="24"/>
          <w:lang w:val="en-GB" w:eastAsia="en-US"/>
        </w:rPr>
        <w:t xml:space="preserve"> it has been given definition only in the third Directive-</w:t>
      </w:r>
      <w:r>
        <w:rPr>
          <w:rFonts w:ascii="Times New Roman" w:eastAsia="Times New Roman" w:hAnsi="Times New Roman" w:cs="Times New Roman"/>
          <w:sz w:val="24"/>
          <w:szCs w:val="24"/>
          <w:lang w:val="en-GB" w:eastAsia="en-US"/>
        </w:rPr>
        <w:t>2005/60/EC</w:t>
      </w:r>
      <w:r>
        <w:rPr>
          <w:rFonts w:ascii="Times New Roman" w:eastAsia="Times New Roman" w:hAnsi="Times New Roman" w:cs="Times New Roman"/>
          <w:sz w:val="24"/>
          <w:szCs w:val="24"/>
          <w:lang w:val="en-GB" w:eastAsia="en-US"/>
        </w:rPr>
        <w:t xml:space="preserve">. The definition has established core principles of the term, yet has been followingly amended in the </w:t>
      </w:r>
      <w:r>
        <w:rPr>
          <w:rFonts w:ascii="Times New Roman" w:eastAsia="Times New Roman" w:hAnsi="Times New Roman" w:cs="Times New Roman"/>
          <w:sz w:val="24"/>
          <w:szCs w:val="24"/>
          <w:lang w:val="en-GB" w:eastAsia="en-US"/>
        </w:rPr>
        <w:t>upcoming directives.</w:t>
      </w:r>
      <w:r>
        <w:rPr>
          <w:rFonts w:ascii="Times New Roman" w:eastAsia="Times New Roman" w:hAnsi="Times New Roman" w:cs="Times New Roman"/>
          <w:sz w:val="24"/>
          <w:szCs w:val="24"/>
          <w:lang w:val="en-GB" w:eastAsia="en-US"/>
        </w:rPr>
        <w:t xml:space="preserve"> It has not bee</w:t>
      </w:r>
      <w:r>
        <w:rPr>
          <w:rFonts w:ascii="Times New Roman" w:eastAsia="Times New Roman" w:hAnsi="Times New Roman" w:cs="Times New Roman"/>
          <w:sz w:val="24"/>
          <w:szCs w:val="24"/>
          <w:lang w:val="en-GB" w:eastAsia="en-US"/>
        </w:rPr>
        <w:t xml:space="preserve">n changed significantly. The wording has been changed, as well as additional provisions were added regarding specific legal forms of business as well as the 25 percent threshold rule has been separately specified.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Answering following research questions “</w:t>
      </w:r>
      <w:r>
        <w:rPr>
          <w:rFonts w:ascii="Times New Roman" w:eastAsia="Times New Roman" w:hAnsi="Times New Roman" w:cs="Times New Roman"/>
          <w:sz w:val="24"/>
          <w:szCs w:val="24"/>
          <w:lang w:val="en-GB" w:eastAsia="en-US"/>
        </w:rPr>
        <w:t>W</w:t>
      </w:r>
      <w:r>
        <w:rPr>
          <w:rFonts w:ascii="Times New Roman" w:eastAsia="Times New Roman" w:hAnsi="Times New Roman" w:cs="Times New Roman"/>
          <w:sz w:val="24"/>
          <w:szCs w:val="24"/>
          <w:lang w:val="en-GB" w:eastAsia="en-US"/>
        </w:rPr>
        <w:t>hat are the characteristics of the “Beneficial owner” under EU Directives?</w:t>
      </w:r>
      <w:r>
        <w:rPr>
          <w:rFonts w:ascii="Times New Roman" w:eastAsia="Times New Roman" w:hAnsi="Times New Roman" w:cs="Times New Roman"/>
          <w:sz w:val="24"/>
          <w:szCs w:val="24"/>
          <w:lang w:val="en-GB" w:eastAsia="en-US"/>
        </w:rPr>
        <w:t>” and “</w:t>
      </w:r>
      <w:r>
        <w:rPr>
          <w:rFonts w:ascii="Times New Roman" w:eastAsia="Times New Roman" w:hAnsi="Times New Roman" w:cs="Times New Roman"/>
          <w:sz w:val="24"/>
          <w:szCs w:val="24"/>
          <w:lang w:val="en-GB" w:eastAsia="en-US"/>
        </w:rPr>
        <w:t>W</w:t>
      </w:r>
      <w:r>
        <w:rPr>
          <w:rFonts w:ascii="Times New Roman" w:eastAsia="Times New Roman" w:hAnsi="Times New Roman" w:cs="Times New Roman"/>
          <w:sz w:val="24"/>
          <w:szCs w:val="24"/>
          <w:lang w:eastAsia="en-US"/>
        </w:rPr>
        <w:t>h</w:t>
      </w:r>
      <w:r>
        <w:rPr>
          <w:rFonts w:ascii="Times New Roman" w:eastAsia="Times New Roman" w:hAnsi="Times New Roman" w:cs="Times New Roman"/>
          <w:sz w:val="24"/>
          <w:szCs w:val="24"/>
          <w:lang w:val="en-GB" w:eastAsia="en-US"/>
        </w:rPr>
        <w:t xml:space="preserve">o is </w:t>
      </w:r>
      <w:r>
        <w:rPr>
          <w:rFonts w:ascii="Times New Roman" w:eastAsia="Times New Roman" w:hAnsi="Times New Roman" w:cs="Times New Roman"/>
          <w:sz w:val="24"/>
          <w:szCs w:val="24"/>
          <w:lang w:eastAsia="en-US"/>
        </w:rPr>
        <w:t xml:space="preserve">subject of the </w:t>
      </w:r>
      <w:r>
        <w:rPr>
          <w:rFonts w:ascii="Times New Roman" w:eastAsia="Times New Roman" w:hAnsi="Times New Roman" w:cs="Times New Roman"/>
          <w:sz w:val="24"/>
          <w:szCs w:val="24"/>
          <w:lang w:val="en-GB" w:eastAsia="en-US"/>
        </w:rPr>
        <w:t>term beneficial owner in the national law of Latvia Law on the Prevention of Money Laundering and Terrorism and Proliferation Financing?</w:t>
      </w:r>
      <w:r>
        <w:rPr>
          <w:rFonts w:ascii="Times New Roman" w:eastAsia="Times New Roman" w:hAnsi="Times New Roman" w:cs="Times New Roman"/>
          <w:sz w:val="24"/>
          <w:szCs w:val="24"/>
          <w:lang w:val="en-GB" w:eastAsia="en-US"/>
        </w:rPr>
        <w:t>” a common answer</w:t>
      </w:r>
      <w:r>
        <w:rPr>
          <w:rFonts w:ascii="Times New Roman" w:eastAsia="Times New Roman" w:hAnsi="Times New Roman" w:cs="Times New Roman"/>
          <w:sz w:val="24"/>
          <w:szCs w:val="24"/>
          <w:lang w:val="en-GB" w:eastAsia="en-US"/>
        </w:rPr>
        <w:t xml:space="preserve"> can be given as European Union norms have been implemented into Latvian national Anti Money Laundering law. Consequently t</w:t>
      </w:r>
      <w:r>
        <w:rPr>
          <w:rFonts w:ascii="Times New Roman" w:eastAsia="Times New Roman" w:hAnsi="Times New Roman" w:cs="Times New Roman"/>
          <w:sz w:val="24"/>
          <w:szCs w:val="24"/>
          <w:lang w:val="en-GB" w:eastAsia="en-US"/>
        </w:rPr>
        <w:t xml:space="preserve">he essence </w:t>
      </w:r>
      <w:r>
        <w:rPr>
          <w:rFonts w:ascii="Times New Roman" w:eastAsia="Times New Roman" w:hAnsi="Times New Roman" w:cs="Times New Roman"/>
          <w:sz w:val="24"/>
          <w:szCs w:val="24"/>
          <w:lang w:val="en-GB" w:eastAsia="en-US"/>
        </w:rPr>
        <w:t xml:space="preserve">and core principles </w:t>
      </w:r>
      <w:r>
        <w:rPr>
          <w:rFonts w:ascii="Times New Roman" w:eastAsia="Times New Roman" w:hAnsi="Times New Roman" w:cs="Times New Roman"/>
          <w:sz w:val="24"/>
          <w:szCs w:val="24"/>
          <w:lang w:val="en-GB" w:eastAsia="en-US"/>
        </w:rPr>
        <w:t>of the term remain common. As a beneficial owner</w:t>
      </w:r>
      <w:r>
        <w:rPr>
          <w:rFonts w:ascii="Times New Roman" w:eastAsia="Times New Roman" w:hAnsi="Times New Roman" w:cs="Times New Roman"/>
          <w:sz w:val="24"/>
          <w:szCs w:val="24"/>
          <w:lang w:val="en-GB" w:eastAsia="en-US"/>
        </w:rPr>
        <w:t xml:space="preserve"> under both legislative norms</w:t>
      </w:r>
      <w:r>
        <w:rPr>
          <w:rFonts w:ascii="Times New Roman" w:eastAsia="Times New Roman" w:hAnsi="Times New Roman" w:cs="Times New Roman"/>
          <w:sz w:val="24"/>
          <w:szCs w:val="24"/>
          <w:lang w:val="en-GB" w:eastAsia="en-US"/>
        </w:rPr>
        <w:t xml:space="preserve"> is considered a person w</w:t>
      </w:r>
      <w:r>
        <w:rPr>
          <w:rFonts w:ascii="Times New Roman" w:eastAsia="Times New Roman" w:hAnsi="Times New Roman" w:cs="Times New Roman"/>
          <w:sz w:val="24"/>
          <w:szCs w:val="24"/>
          <w:lang w:val="en-GB" w:eastAsia="en-US"/>
        </w:rPr>
        <w:t>ho has following characteristics</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val="en-GB" w:eastAsia="en-US"/>
        </w:rPr>
        <w:t xml:space="preserve"> </w:t>
      </w:r>
    </w:p>
    <w:p w:rsidR="003540B4" w:rsidRDefault="008C0147">
      <w:pPr>
        <w:pStyle w:val="RGSLNormalwithindentation"/>
        <w:numPr>
          <w:ilvl w:val="0"/>
          <w:numId w:val="7"/>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A natural person </w:t>
      </w:r>
    </w:p>
    <w:p w:rsidR="003540B4" w:rsidRDefault="008C0147">
      <w:pPr>
        <w:pStyle w:val="RGSLNormalwithindentation"/>
        <w:numPr>
          <w:ilvl w:val="0"/>
          <w:numId w:val="7"/>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The legal person or arrangement is conducting business activities for his benefit </w:t>
      </w:r>
    </w:p>
    <w:p w:rsidR="003540B4" w:rsidRDefault="008C0147">
      <w:pPr>
        <w:pStyle w:val="RGSLNormalwithindentation"/>
        <w:numPr>
          <w:ilvl w:val="0"/>
          <w:numId w:val="7"/>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He exercises an effective control over the legal person or arrangement.</w:t>
      </w:r>
    </w:p>
    <w:p w:rsidR="003540B4" w:rsidRDefault="008C0147">
      <w:pPr>
        <w:pStyle w:val="RGSLNormalwithindentation"/>
        <w:numPr>
          <w:ilvl w:val="0"/>
          <w:numId w:val="7"/>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Depending on the legal form of business a natural person shall be a shareholder or hold a specific position in the legal person or arrangement. </w:t>
      </w:r>
    </w:p>
    <w:p w:rsidR="003540B4" w:rsidRDefault="008C0147">
      <w:pPr>
        <w:pStyle w:val="RGSLNormalwithindentation"/>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Regarding the fourth research question “</w:t>
      </w:r>
      <w:r>
        <w:rPr>
          <w:rFonts w:ascii="Times New Roman" w:eastAsia="Times New Roman" w:hAnsi="Times New Roman" w:cs="Times New Roman"/>
          <w:sz w:val="24"/>
          <w:szCs w:val="24"/>
          <w:lang w:val="en-GB" w:eastAsia="en-US"/>
        </w:rPr>
        <w:t>How the beneficial owner is identified in exceptional cases, when initi</w:t>
      </w:r>
      <w:r>
        <w:rPr>
          <w:rFonts w:ascii="Times New Roman" w:eastAsia="Times New Roman" w:hAnsi="Times New Roman" w:cs="Times New Roman"/>
          <w:sz w:val="24"/>
          <w:szCs w:val="24"/>
          <w:lang w:val="en-GB" w:eastAsia="en-US"/>
        </w:rPr>
        <w:t>al definition is not applicable</w:t>
      </w:r>
      <w:r>
        <w:rPr>
          <w:rFonts w:ascii="Times New Roman" w:eastAsia="Times New Roman" w:hAnsi="Times New Roman" w:cs="Times New Roman"/>
          <w:sz w:val="24"/>
          <w:szCs w:val="24"/>
          <w:lang w:val="en-GB" w:eastAsia="en-US"/>
        </w:rPr>
        <w:t xml:space="preserve">” the answer may be summed up in a following way. </w:t>
      </w:r>
      <w:r>
        <w:rPr>
          <w:rFonts w:ascii="Times New Roman" w:eastAsia="Times New Roman" w:hAnsi="Times New Roman" w:cs="Times New Roman"/>
          <w:sz w:val="24"/>
          <w:szCs w:val="24"/>
          <w:lang w:val="en-GB" w:eastAsia="en-US"/>
        </w:rPr>
        <w:t>In exceptional cases when the beneficial owner is not identifiable by application of the initial definition of the term for the purposes of legal compliance this status may be</w:t>
      </w:r>
      <w:r>
        <w:rPr>
          <w:rFonts w:ascii="Times New Roman" w:eastAsia="Times New Roman" w:hAnsi="Times New Roman" w:cs="Times New Roman"/>
          <w:sz w:val="24"/>
          <w:szCs w:val="24"/>
          <w:lang w:val="en-GB" w:eastAsia="en-US"/>
        </w:rPr>
        <w:t xml:space="preserve"> assigned to the persons holding position in the senior management of the organisation. Yet this will not assign to this person any additional rights or obligations. </w:t>
      </w:r>
    </w:p>
    <w:p w:rsidR="003540B4" w:rsidRDefault="008C0147">
      <w:pPr>
        <w:pStyle w:val="RGSLNormalwithindentation"/>
        <w:jc w:val="both"/>
        <w:rPr>
          <w:rFonts w:ascii="Times New Roman" w:eastAsia="Times New Roman" w:hAnsi="Times New Roman" w:cs="Times New Roman"/>
          <w:color w:val="FF0000"/>
          <w:sz w:val="24"/>
          <w:szCs w:val="24"/>
          <w:lang w:val="en-GB" w:eastAsia="en-US"/>
        </w:rPr>
      </w:pPr>
      <w:r>
        <w:rPr>
          <w:rFonts w:ascii="Times New Roman" w:eastAsia="Times New Roman" w:hAnsi="Times New Roman" w:cs="Times New Roman"/>
          <w:sz w:val="24"/>
          <w:szCs w:val="24"/>
          <w:lang w:val="en-GB" w:eastAsia="en-US"/>
        </w:rPr>
        <w:t xml:space="preserve">As well as in different legal forms of business different aspects have to be taken into </w:t>
      </w:r>
      <w:r>
        <w:rPr>
          <w:rFonts w:ascii="Times New Roman" w:eastAsia="Times New Roman" w:hAnsi="Times New Roman" w:cs="Times New Roman"/>
          <w:sz w:val="24"/>
          <w:szCs w:val="24"/>
          <w:lang w:val="en-GB" w:eastAsia="en-US"/>
        </w:rPr>
        <w:t>account when identifying the beneficial owner. This topic has been more closely researched in section four of this thesis “Beneficial owner identification process in the scope of legal form of business”. By such all the set forward objectives of the thesis</w:t>
      </w:r>
      <w:r>
        <w:rPr>
          <w:rFonts w:ascii="Times New Roman" w:eastAsia="Times New Roman" w:hAnsi="Times New Roman" w:cs="Times New Roman"/>
          <w:sz w:val="24"/>
          <w:szCs w:val="24"/>
          <w:lang w:val="en-GB" w:eastAsia="en-US"/>
        </w:rPr>
        <w:t xml:space="preserve"> were achieved.</w:t>
      </w:r>
      <w:r>
        <w:rPr>
          <w:rFonts w:ascii="Times New Roman" w:eastAsia="Times New Roman" w:hAnsi="Times New Roman" w:cs="Times New Roman"/>
          <w:sz w:val="24"/>
          <w:szCs w:val="24"/>
          <w:lang w:val="en-GB" w:eastAsia="en-US"/>
        </w:rPr>
        <w:t xml:space="preserve"> Yet it shall be mentioned that each situation has to be reviewed on the case by case basis. Consequently there shall take place an extensive analysis on the essence of business activities and multiple available resources have to be used and</w:t>
      </w:r>
      <w:r>
        <w:rPr>
          <w:rFonts w:ascii="Times New Roman" w:eastAsia="Times New Roman" w:hAnsi="Times New Roman" w:cs="Times New Roman"/>
          <w:sz w:val="24"/>
          <w:szCs w:val="24"/>
          <w:lang w:val="en-GB" w:eastAsia="en-US"/>
        </w:rPr>
        <w:t xml:space="preserve"> reviewed to establish a true beneficial owner, as it might not be a person initially identified. </w:t>
      </w:r>
      <w:r>
        <w:rPr>
          <w:rFonts w:ascii="Times New Roman" w:eastAsia="Times New Roman" w:hAnsi="Times New Roman" w:cs="Times New Roman"/>
          <w:sz w:val="24"/>
          <w:szCs w:val="24"/>
          <w:lang w:val="en-GB" w:eastAsia="en-US"/>
        </w:rPr>
        <w:t xml:space="preserve">  </w:t>
      </w:r>
    </w:p>
    <w:p w:rsidR="003540B4" w:rsidRDefault="003540B4">
      <w:pPr>
        <w:rPr>
          <w:lang w:val="en-GB"/>
        </w:rPr>
      </w:pPr>
    </w:p>
    <w:p w:rsidR="003540B4" w:rsidRDefault="008C0147">
      <w:pPr>
        <w:rPr>
          <w:rFonts w:ascii="Arial" w:hAnsi="Arial" w:cs="Arial"/>
          <w:color w:val="414142"/>
          <w:sz w:val="13"/>
          <w:szCs w:val="13"/>
          <w:shd w:val="clear" w:color="auto" w:fill="FFFFFF"/>
        </w:rPr>
      </w:pPr>
      <w:r>
        <w:rPr>
          <w:rFonts w:ascii="Arial" w:hAnsi="Arial" w:cs="Arial"/>
          <w:color w:val="414142"/>
          <w:sz w:val="13"/>
          <w:szCs w:val="13"/>
          <w:shd w:val="clear" w:color="auto" w:fill="FFFFFF"/>
        </w:rPr>
        <w:br w:type="page"/>
      </w:r>
    </w:p>
    <w:p w:rsidR="003540B4" w:rsidRDefault="008C0147">
      <w:pPr>
        <w:pStyle w:val="RGSLheading11"/>
        <w:spacing w:line="240" w:lineRule="auto"/>
        <w:ind w:right="709"/>
        <w:rPr>
          <w:rFonts w:ascii="Times New Roman" w:eastAsiaTheme="majorEastAsia" w:hAnsi="Times New Roman" w:hint="default"/>
          <w:color w:val="000000" w:themeColor="text1"/>
          <w:lang w:val="en-GB"/>
        </w:rPr>
      </w:pPr>
      <w:bookmarkStart w:id="50" w:name="_Toc18406"/>
      <w:r>
        <w:rPr>
          <w:rFonts w:ascii="Times New Roman" w:eastAsiaTheme="majorEastAsia" w:hAnsi="Times New Roman" w:hint="default"/>
          <w:color w:val="000000" w:themeColor="text1"/>
          <w:lang w:val="en-GB"/>
        </w:rPr>
        <w:t>Bibliography:</w:t>
      </w:r>
      <w:bookmarkEnd w:id="50"/>
      <w:r>
        <w:rPr>
          <w:rFonts w:ascii="Times New Roman" w:eastAsiaTheme="majorEastAsia" w:hAnsi="Times New Roman" w:hint="default"/>
          <w:color w:val="000000" w:themeColor="text1"/>
          <w:lang w:val="en-GB"/>
        </w:rPr>
        <w:t xml:space="preserve"> </w:t>
      </w:r>
    </w:p>
    <w:p w:rsidR="003540B4" w:rsidRDefault="008C0147">
      <w:pPr>
        <w:pStyle w:val="RGSLHeading2"/>
        <w:numPr>
          <w:ilvl w:val="0"/>
          <w:numId w:val="8"/>
        </w:numPr>
        <w:spacing w:line="240" w:lineRule="auto"/>
        <w:ind w:right="709"/>
        <w:rPr>
          <w:rFonts w:ascii="Times New Roman" w:eastAsiaTheme="majorEastAsia" w:hAnsi="Times New Roman" w:hint="default"/>
          <w:color w:val="000000" w:themeColor="text1"/>
          <w:lang w:val="en-GB" w:eastAsia="ru-RU"/>
        </w:rPr>
      </w:pPr>
      <w:bookmarkStart w:id="51" w:name="_Toc17301"/>
      <w:r>
        <w:rPr>
          <w:rFonts w:ascii="Times New Roman" w:eastAsiaTheme="majorEastAsia" w:hAnsi="Times New Roman" w:hint="default"/>
          <w:color w:val="000000" w:themeColor="text1"/>
          <w:lang w:val="en-GB" w:eastAsia="ru-RU"/>
        </w:rPr>
        <w:t>Primary Sources</w:t>
      </w:r>
      <w:bookmarkEnd w:id="51"/>
      <w:r>
        <w:rPr>
          <w:rFonts w:ascii="Times New Roman" w:eastAsiaTheme="majorEastAsia" w:hAnsi="Times New Roman" w:hint="default"/>
          <w:color w:val="000000" w:themeColor="text1"/>
          <w:lang w:val="en-GB" w:eastAsia="ru-RU"/>
        </w:rPr>
        <w:t xml:space="preserve"> </w:t>
      </w:r>
    </w:p>
    <w:p w:rsidR="003540B4" w:rsidRDefault="008C0147">
      <w:pPr>
        <w:pStyle w:val="RGSLHeading30"/>
        <w:numPr>
          <w:ilvl w:val="1"/>
          <w:numId w:val="8"/>
        </w:numPr>
        <w:spacing w:line="240" w:lineRule="auto"/>
        <w:ind w:right="709"/>
        <w:rPr>
          <w:rFonts w:ascii="Times New Roman" w:eastAsiaTheme="majorEastAsia" w:hAnsi="Times New Roman" w:hint="default"/>
          <w:color w:val="000000" w:themeColor="text1"/>
          <w:lang w:val="en-GB" w:eastAsia="ru-RU"/>
        </w:rPr>
      </w:pPr>
      <w:bookmarkStart w:id="52" w:name="_Toc15380"/>
      <w:r>
        <w:rPr>
          <w:rFonts w:ascii="Times New Roman" w:eastAsiaTheme="majorEastAsia" w:hAnsi="Times New Roman" w:hint="default"/>
          <w:color w:val="000000" w:themeColor="text1"/>
          <w:lang w:val="en-GB" w:eastAsia="ru-RU"/>
        </w:rPr>
        <w:t>Legislation of the European Union</w:t>
      </w:r>
      <w:bookmarkEnd w:id="52"/>
    </w:p>
    <w:p w:rsidR="003540B4" w:rsidRDefault="008C0147">
      <w:pPr>
        <w:pStyle w:val="RGSLBodywithoutindentation"/>
        <w:numPr>
          <w:ilvl w:val="0"/>
          <w:numId w:val="9"/>
        </w:numPr>
        <w:rPr>
          <w:rFonts w:cs="Times New Roman"/>
          <w:lang w:val="en-GB"/>
        </w:rPr>
      </w:pPr>
      <w:r>
        <w:rPr>
          <w:rFonts w:cs="Times New Roman"/>
          <w:lang w:val="en-US"/>
        </w:rPr>
        <w:t>C</w:t>
      </w:r>
      <w:r>
        <w:rPr>
          <w:rFonts w:cs="Times New Roman"/>
          <w:lang w:val="en-GB"/>
        </w:rPr>
        <w:t>onvention</w:t>
      </w:r>
      <w:r>
        <w:rPr>
          <w:rFonts w:cs="Times New Roman"/>
          <w:lang w:val="en-US"/>
        </w:rPr>
        <w:t xml:space="preserve"> A</w:t>
      </w:r>
      <w:r>
        <w:rPr>
          <w:rFonts w:cs="Times New Roman"/>
          <w:lang w:val="en-GB"/>
        </w:rPr>
        <w:t>gainst Illicit</w:t>
      </w:r>
      <w:r>
        <w:rPr>
          <w:rFonts w:cs="Times New Roman"/>
          <w:lang w:val="en-US"/>
        </w:rPr>
        <w:t xml:space="preserve"> T</w:t>
      </w:r>
      <w:r>
        <w:rPr>
          <w:rFonts w:cs="Times New Roman"/>
          <w:lang w:val="en-GB"/>
        </w:rPr>
        <w:t>raffic</w:t>
      </w:r>
      <w:r>
        <w:rPr>
          <w:rFonts w:cs="Times New Roman"/>
          <w:lang w:val="en-US"/>
        </w:rPr>
        <w:t xml:space="preserve"> I</w:t>
      </w:r>
      <w:r>
        <w:rPr>
          <w:rFonts w:cs="Times New Roman"/>
          <w:lang w:val="en-GB"/>
        </w:rPr>
        <w:t>n</w:t>
      </w:r>
      <w:r>
        <w:rPr>
          <w:rFonts w:cs="Times New Roman"/>
          <w:lang w:val="en-US"/>
        </w:rPr>
        <w:t xml:space="preserve"> </w:t>
      </w:r>
      <w:r>
        <w:rPr>
          <w:rFonts w:cs="Times New Roman"/>
          <w:lang w:val="en-GB"/>
        </w:rPr>
        <w:t xml:space="preserve">Narcotic Drugs and Psychotropic Substances of the United Nations ( 1988). Available on: </w:t>
      </w:r>
      <w:hyperlink r:id="rId14" w:history="1">
        <w:r>
          <w:rPr>
            <w:rFonts w:cs="Times New Roman"/>
            <w:lang w:val="en-US"/>
          </w:rPr>
          <w:t>https://www.unodc.org/pdf/convention_1988_en.pdf</w:t>
        </w:r>
      </w:hyperlink>
      <w:r>
        <w:rPr>
          <w:rFonts w:cs="Times New Roman"/>
          <w:lang w:val="en-GB"/>
        </w:rPr>
        <w:t xml:space="preserve">. </w:t>
      </w:r>
      <w:r>
        <w:rPr>
          <w:rFonts w:cs="Times New Roman"/>
          <w:lang w:val="en-GB" w:eastAsia="zh-CN"/>
        </w:rPr>
        <w:t>Accessed on March 17, 2021.</w:t>
      </w:r>
    </w:p>
    <w:p w:rsidR="003540B4" w:rsidRDefault="008C0147">
      <w:pPr>
        <w:pStyle w:val="RGSLBodywithoutindentation"/>
        <w:numPr>
          <w:ilvl w:val="0"/>
          <w:numId w:val="9"/>
        </w:numPr>
        <w:rPr>
          <w:rFonts w:cs="Times New Roman"/>
          <w:lang w:val="en-GB"/>
        </w:rPr>
      </w:pPr>
      <w:r>
        <w:rPr>
          <w:rFonts w:cs="Times New Roman"/>
          <w:lang w:val="en-GB"/>
        </w:rPr>
        <w:t>Council Directive 91 /308</w:t>
      </w:r>
      <w:r>
        <w:rPr>
          <w:rFonts w:cs="Times New Roman"/>
          <w:lang w:val="en-GB"/>
        </w:rPr>
        <w:t xml:space="preserve">/EEC  of 10 June 1991 on prevention of the use of the financial system for the purpose of money laundering Available at: </w:t>
      </w:r>
      <w:hyperlink r:id="rId15" w:history="1">
        <w:r>
          <w:rPr>
            <w:rFonts w:cs="Times New Roman"/>
            <w:lang w:val="en-GB"/>
          </w:rPr>
          <w:t>https://eur-lex.europa.eu/legal-content/</w:t>
        </w:r>
        <w:r>
          <w:rPr>
            <w:rFonts w:cs="Times New Roman"/>
            <w:lang w:val="en-GB"/>
          </w:rPr>
          <w:t>EN/TXT/PDF/?uri=CELEX:31991L0308&amp;from=LV.</w:t>
        </w:r>
      </w:hyperlink>
      <w:r>
        <w:rPr>
          <w:rFonts w:cs="Times New Roman"/>
          <w:lang w:val="en-GB"/>
        </w:rPr>
        <w:t xml:space="preserve"> </w:t>
      </w:r>
      <w:r>
        <w:rPr>
          <w:rFonts w:cs="Times New Roman"/>
          <w:lang w:val="en-GB" w:eastAsia="zh-CN"/>
        </w:rPr>
        <w:t>Accessed on March 16, 2021.</w:t>
      </w:r>
      <w:r>
        <w:rPr>
          <w:rFonts w:cs="Times New Roman"/>
          <w:lang w:val="en-GB"/>
        </w:rPr>
        <w:t xml:space="preserve"> </w:t>
      </w:r>
    </w:p>
    <w:p w:rsidR="003540B4" w:rsidRDefault="008C0147">
      <w:pPr>
        <w:pStyle w:val="RGSLBodywithoutindentation"/>
        <w:numPr>
          <w:ilvl w:val="0"/>
          <w:numId w:val="9"/>
        </w:numPr>
        <w:rPr>
          <w:rFonts w:cs="Times New Roman"/>
          <w:lang w:val="en-GB" w:eastAsia="zh-CN"/>
        </w:rPr>
      </w:pPr>
      <w:r>
        <w:rPr>
          <w:rFonts w:cs="Times New Roman"/>
          <w:lang w:val="en-US" w:eastAsia="zh-CN"/>
        </w:rPr>
        <w:t>D</w:t>
      </w:r>
      <w:r>
        <w:rPr>
          <w:rFonts w:cs="Times New Roman"/>
          <w:lang w:val="en-GB" w:eastAsia="zh-CN"/>
        </w:rPr>
        <w:t xml:space="preserve">irective </w:t>
      </w:r>
      <w:r>
        <w:rPr>
          <w:rFonts w:cs="Times New Roman"/>
          <w:lang w:val="en-US" w:eastAsia="zh-CN"/>
        </w:rPr>
        <w:t xml:space="preserve">(EU) 2015/849 </w:t>
      </w:r>
      <w:r>
        <w:rPr>
          <w:rFonts w:cs="Times New Roman"/>
          <w:lang w:val="en-GB" w:eastAsia="zh-CN"/>
        </w:rPr>
        <w:t xml:space="preserve">of the European Parliament and of the Council </w:t>
      </w:r>
      <w:r>
        <w:rPr>
          <w:rFonts w:cs="Times New Roman"/>
          <w:lang w:val="en-US" w:eastAsia="zh-CN"/>
        </w:rPr>
        <w:t>of 20 May 2015</w:t>
      </w:r>
      <w:r>
        <w:rPr>
          <w:rFonts w:cs="Times New Roman"/>
          <w:lang w:val="en-GB" w:eastAsia="zh-CN"/>
        </w:rPr>
        <w:t xml:space="preserve"> </w:t>
      </w:r>
      <w:r>
        <w:rPr>
          <w:rFonts w:cs="Times New Roman"/>
          <w:lang w:val="en-US" w:eastAsia="zh-CN"/>
        </w:rPr>
        <w:t>on the prevention of the use of the financial system for the purposes of money laundering or terr</w:t>
      </w:r>
      <w:r>
        <w:rPr>
          <w:rFonts w:cs="Times New Roman"/>
          <w:lang w:val="en-US" w:eastAsia="zh-CN"/>
        </w:rPr>
        <w:t>orist financing, amending Regulation (EU) No 648/2012 of the European Parliament and of the Council, and repealing Directive 2005/60/EC of the European Parliament and of the Council and Commission Directive 2006/70/EC</w:t>
      </w:r>
      <w:r>
        <w:rPr>
          <w:rFonts w:cs="Times New Roman"/>
          <w:lang w:val="en-GB" w:eastAsia="zh-CN"/>
        </w:rPr>
        <w:t xml:space="preserve"> </w:t>
      </w:r>
      <w:r>
        <w:rPr>
          <w:rFonts w:cs="Times New Roman"/>
          <w:lang w:val="en-US" w:eastAsia="zh-CN"/>
        </w:rPr>
        <w:t>Text with EEA relevance</w:t>
      </w:r>
      <w:r>
        <w:rPr>
          <w:rFonts w:cs="Times New Roman"/>
          <w:lang w:val="en-GB" w:eastAsia="zh-CN"/>
        </w:rPr>
        <w:t>. Accessed on M</w:t>
      </w:r>
      <w:r>
        <w:rPr>
          <w:rFonts w:cs="Times New Roman"/>
          <w:lang w:val="en-GB" w:eastAsia="zh-CN"/>
        </w:rPr>
        <w:t xml:space="preserve">arch 27, 2021.  </w:t>
      </w:r>
      <w:hyperlink r:id="rId16" w:history="1">
        <w:r>
          <w:rPr>
            <w:rFonts w:cs="Times New Roman"/>
            <w:lang w:val="en-GB" w:eastAsia="zh-CN"/>
          </w:rPr>
          <w:t>https://eur-lex.europa.eu/legal-content/EN/TXT/HTML/?uri=CELEX:32015L0849&amp;from=FR.</w:t>
        </w:r>
      </w:hyperlink>
      <w:r>
        <w:rPr>
          <w:rFonts w:cs="Times New Roman"/>
          <w:lang w:val="en-GB" w:eastAsia="zh-CN"/>
        </w:rPr>
        <w:t xml:space="preserve"> </w:t>
      </w:r>
    </w:p>
    <w:p w:rsidR="003540B4" w:rsidRDefault="008C0147">
      <w:pPr>
        <w:pStyle w:val="RGSLBodywithoutindentation"/>
        <w:numPr>
          <w:ilvl w:val="0"/>
          <w:numId w:val="9"/>
        </w:numPr>
        <w:rPr>
          <w:rFonts w:cs="Times New Roman"/>
          <w:lang w:val="en-GB"/>
        </w:rPr>
      </w:pPr>
      <w:r>
        <w:rPr>
          <w:rFonts w:cs="Times New Roman"/>
          <w:lang w:val="en-US"/>
        </w:rPr>
        <w:t>Directive (EU) 2018/843 of the European Parliament and of</w:t>
      </w:r>
      <w:r>
        <w:rPr>
          <w:rFonts w:cs="Times New Roman"/>
          <w:lang w:val="en-US"/>
        </w:rPr>
        <w:t xml:space="preserve"> the Council of 30 May 2018 amending Directive (EU) 2015/849 on the prevention of the use of the financial system for the purposes of money laundering or terrorist financing, and amending Directives 2009/138/EC and 2013/36/EU (Text with EEA relevance)</w:t>
      </w:r>
      <w:r>
        <w:rPr>
          <w:rFonts w:cs="Times New Roman"/>
          <w:lang w:val="en-GB"/>
        </w:rPr>
        <w:t xml:space="preserve">, OJ </w:t>
      </w:r>
      <w:r>
        <w:rPr>
          <w:rFonts w:cs="Times New Roman"/>
          <w:lang w:val="en-GB"/>
        </w:rPr>
        <w:t xml:space="preserve">L 156. Available on: </w:t>
      </w:r>
      <w:hyperlink r:id="rId17" w:history="1">
        <w:r>
          <w:rPr>
            <w:rFonts w:cs="Times New Roman"/>
            <w:lang w:val="en-GB"/>
          </w:rPr>
          <w:t>h</w:t>
        </w:r>
        <w:r>
          <w:rPr>
            <w:rFonts w:cs="Times New Roman"/>
            <w:lang w:val="en-US"/>
          </w:rPr>
          <w:t>ttps://eur-lex.europa.eu/legal-content/EN/TXT/?uri=CELEX%3A32018L0843</w:t>
        </w:r>
        <w:r>
          <w:rPr>
            <w:rFonts w:cs="Times New Roman"/>
            <w:lang w:val="en-GB"/>
          </w:rPr>
          <w:t>.</w:t>
        </w:r>
      </w:hyperlink>
      <w:r>
        <w:rPr>
          <w:rFonts w:cs="Times New Roman"/>
          <w:lang w:val="en-GB"/>
        </w:rPr>
        <w:t xml:space="preserve"> Accessed March 30, 2021</w:t>
      </w:r>
    </w:p>
    <w:p w:rsidR="003540B4" w:rsidRDefault="008C0147">
      <w:pPr>
        <w:pStyle w:val="RGSLBodywithoutindentation"/>
        <w:numPr>
          <w:ilvl w:val="0"/>
          <w:numId w:val="9"/>
        </w:numPr>
        <w:rPr>
          <w:rFonts w:cs="Times New Roman"/>
          <w:lang w:val="en-GB"/>
        </w:rPr>
      </w:pPr>
      <w:r>
        <w:rPr>
          <w:rFonts w:cs="Times New Roman"/>
          <w:lang w:val="en-GB"/>
        </w:rPr>
        <w:t>Directive 2001/97/EC of the European PArliament and</w:t>
      </w:r>
      <w:r>
        <w:rPr>
          <w:rFonts w:cs="Times New Roman"/>
          <w:lang w:val="en-GB"/>
        </w:rPr>
        <w:t xml:space="preserve"> of the Council of 4 December 2001 amending Council Directive 91/308/EEC on prevention of the use of the finacial system for the purpose of money laundering, OJ L 344. Available on: </w:t>
      </w:r>
      <w:hyperlink r:id="rId18" w:history="1">
        <w:r>
          <w:rPr>
            <w:rFonts w:cs="Times New Roman"/>
            <w:lang w:val="en-GB"/>
          </w:rPr>
          <w:t>https://eur-lex.europa.eu/legal-content/EN/ALL/?uri=CELEX%3A32001L0097.</w:t>
        </w:r>
      </w:hyperlink>
      <w:r>
        <w:rPr>
          <w:rFonts w:cs="Times New Roman"/>
          <w:lang w:val="en-GB"/>
        </w:rPr>
        <w:t xml:space="preserve"> Accessed March 25, 2021.</w:t>
      </w:r>
    </w:p>
    <w:p w:rsidR="003540B4" w:rsidRDefault="008C0147">
      <w:pPr>
        <w:pStyle w:val="RGSLBodywithoutindentation"/>
        <w:numPr>
          <w:ilvl w:val="0"/>
          <w:numId w:val="9"/>
        </w:numPr>
        <w:rPr>
          <w:rFonts w:cs="Times New Roman"/>
          <w:lang w:val="en-GB"/>
        </w:rPr>
      </w:pPr>
      <w:r>
        <w:rPr>
          <w:rFonts w:cs="Times New Roman"/>
          <w:lang w:val="en-GB"/>
        </w:rPr>
        <w:t xml:space="preserve">Directive 2005/60/EC of the European Parliament and of the Council of 26 October 2005 on </w:t>
      </w:r>
      <w:r>
        <w:rPr>
          <w:rFonts w:cs="Times New Roman"/>
          <w:lang w:val="en-US"/>
        </w:rPr>
        <w:t>the prevention of the use of the financial system for th</w:t>
      </w:r>
      <w:r>
        <w:rPr>
          <w:rFonts w:cs="Times New Roman"/>
          <w:lang w:val="en-US"/>
        </w:rPr>
        <w:t>e purpose of money laundering and terrorist financing</w:t>
      </w:r>
      <w:r>
        <w:rPr>
          <w:rFonts w:cs="Times New Roman"/>
          <w:lang w:val="en-GB"/>
        </w:rPr>
        <w:t xml:space="preserve">,Text with EEA  OJ </w:t>
      </w:r>
      <w:r>
        <w:rPr>
          <w:rFonts w:cs="Times New Roman"/>
          <w:lang w:val="en-US"/>
        </w:rPr>
        <w:t>L 309/15</w:t>
      </w:r>
      <w:r>
        <w:rPr>
          <w:rFonts w:cs="Times New Roman"/>
          <w:lang w:val="en-GB"/>
        </w:rPr>
        <w:t xml:space="preserve">, Available on: </w:t>
      </w:r>
      <w:hyperlink r:id="rId19" w:history="1">
        <w:r>
          <w:rPr>
            <w:rFonts w:cs="Times New Roman"/>
            <w:lang w:val="en-US"/>
          </w:rPr>
          <w:t>https://eur-lex.europa.eu/legal-content/EN/TXT/?uri=CELEX%3A32005L0060</w:t>
        </w:r>
        <w:r>
          <w:rPr>
            <w:rFonts w:cs="Times New Roman"/>
            <w:lang w:val="en-GB"/>
          </w:rPr>
          <w:t>.</w:t>
        </w:r>
      </w:hyperlink>
      <w:r>
        <w:rPr>
          <w:rFonts w:cs="Times New Roman"/>
          <w:lang w:val="en-GB"/>
        </w:rPr>
        <w:t xml:space="preserve"> </w:t>
      </w:r>
      <w:r>
        <w:rPr>
          <w:rFonts w:cs="Times New Roman"/>
          <w:lang w:val="en-GB"/>
        </w:rPr>
        <w:t>Accessed March 16, 2021.</w:t>
      </w:r>
    </w:p>
    <w:p w:rsidR="003540B4" w:rsidRDefault="008C0147">
      <w:pPr>
        <w:pStyle w:val="RGSLBodywithoutindentation"/>
        <w:numPr>
          <w:ilvl w:val="0"/>
          <w:numId w:val="9"/>
        </w:numPr>
        <w:rPr>
          <w:rFonts w:cs="Times New Roman"/>
          <w:lang w:val="en-US"/>
        </w:rPr>
      </w:pPr>
      <w:r>
        <w:rPr>
          <w:rFonts w:cs="Times New Roman"/>
          <w:lang w:val="en-US"/>
        </w:rPr>
        <w:t xml:space="preserve"> </w:t>
      </w:r>
      <w:r>
        <w:rPr>
          <w:rFonts w:cs="Times New Roman"/>
          <w:lang w:val="en-GB"/>
        </w:rPr>
        <w:t xml:space="preserve">United Nations. United Nations Convention Against Transnational Organized Crime and the Protocols Thereto (2004). Available on </w:t>
      </w:r>
      <w:hyperlink r:id="rId20" w:history="1">
        <w:r>
          <w:rPr>
            <w:rFonts w:cs="Times New Roman"/>
            <w:lang w:val="en-GB"/>
          </w:rPr>
          <w:t>https://www.unodc.org/documents/middleeastandnorthafrica/organised-crime/UNITED_NATIONS_CONVENTION_AGAINST_TRANSNATIONAL_ORGANIZED_CRIME_AND_THE_PROTOCOLS_THERETO.pdf</w:t>
        </w:r>
      </w:hyperlink>
      <w:r>
        <w:rPr>
          <w:rFonts w:cs="Times New Roman"/>
          <w:lang w:val="en-GB"/>
        </w:rPr>
        <w:t>. Accessed</w:t>
      </w:r>
      <w:r>
        <w:rPr>
          <w:rFonts w:cs="Times New Roman"/>
          <w:lang w:val="en-GB"/>
        </w:rPr>
        <w:t xml:space="preserve"> 8 November 2020</w:t>
      </w:r>
    </w:p>
    <w:p w:rsidR="003540B4" w:rsidRDefault="008C0147">
      <w:pPr>
        <w:pStyle w:val="RGSLHeading30"/>
        <w:numPr>
          <w:ilvl w:val="1"/>
          <w:numId w:val="8"/>
        </w:numPr>
        <w:spacing w:line="240" w:lineRule="auto"/>
        <w:ind w:right="709"/>
        <w:rPr>
          <w:rFonts w:ascii="Times New Roman" w:eastAsiaTheme="majorEastAsia" w:hAnsi="Times New Roman" w:hint="default"/>
          <w:color w:val="000000" w:themeColor="text1"/>
          <w:lang w:val="en-GB" w:eastAsia="ru-RU"/>
        </w:rPr>
      </w:pPr>
      <w:bookmarkStart w:id="53" w:name="_Toc5023"/>
      <w:r>
        <w:rPr>
          <w:rFonts w:ascii="Times New Roman" w:eastAsiaTheme="majorEastAsia" w:hAnsi="Times New Roman" w:hint="default"/>
          <w:color w:val="000000" w:themeColor="text1"/>
          <w:lang w:val="en-GB" w:eastAsia="ru-RU"/>
        </w:rPr>
        <w:t>Legislation of the Republic of Latvia</w:t>
      </w:r>
      <w:bookmarkEnd w:id="53"/>
      <w:r>
        <w:rPr>
          <w:rFonts w:ascii="Times New Roman" w:eastAsiaTheme="majorEastAsia" w:hAnsi="Times New Roman" w:hint="default"/>
          <w:color w:val="000000" w:themeColor="text1"/>
          <w:lang w:val="en-GB" w:eastAsia="ru-RU"/>
        </w:rPr>
        <w:t xml:space="preserve"> </w:t>
      </w:r>
    </w:p>
    <w:p w:rsidR="003540B4" w:rsidRDefault="008C0147">
      <w:pPr>
        <w:pStyle w:val="RGSLBodywithoutindentation"/>
        <w:numPr>
          <w:ilvl w:val="0"/>
          <w:numId w:val="10"/>
        </w:numPr>
        <w:rPr>
          <w:rFonts w:cs="Times New Roman"/>
          <w:lang w:val="lv-LV"/>
        </w:rPr>
      </w:pPr>
      <w:r>
        <w:rPr>
          <w:rFonts w:cs="Times New Roman"/>
          <w:lang w:val="en-GB"/>
        </w:rPr>
        <w:t>Arodbiedrību Likums</w:t>
      </w:r>
      <w:r>
        <w:rPr>
          <w:rFonts w:ascii="Arial" w:eastAsia="SimSun" w:hAnsi="Arial"/>
          <w:b/>
          <w:color w:val="414142"/>
          <w:sz w:val="23"/>
          <w:szCs w:val="23"/>
          <w:shd w:val="clear" w:color="auto" w:fill="FFFFFF"/>
          <w:lang w:val="lv-LV"/>
        </w:rPr>
        <w:t xml:space="preserve"> </w:t>
      </w:r>
      <w:r>
        <w:rPr>
          <w:rFonts w:cs="Times New Roman"/>
          <w:lang w:val="lv-LV"/>
        </w:rPr>
        <w:t xml:space="preserve">(Law on Trade Unions) ( 1 November 2014). Available on: </w:t>
      </w:r>
      <w:r>
        <w:rPr>
          <w:rFonts w:cs="Times New Roman"/>
          <w:lang w:val="en-US"/>
        </w:rPr>
        <w:t xml:space="preserve"> https://likumi.lv/ta/en/en/id/265207-law-on-trade-unions</w:t>
      </w:r>
    </w:p>
    <w:p w:rsidR="003540B4" w:rsidRDefault="008C0147">
      <w:pPr>
        <w:pStyle w:val="RGSLBodywithoutindentation"/>
        <w:numPr>
          <w:ilvl w:val="0"/>
          <w:numId w:val="10"/>
        </w:numPr>
        <w:rPr>
          <w:rFonts w:cs="Times New Roman"/>
          <w:lang w:val="en-US"/>
        </w:rPr>
      </w:pPr>
      <w:r>
        <w:rPr>
          <w:rFonts w:cs="Times New Roman"/>
          <w:lang w:val="en-GB"/>
        </w:rPr>
        <w:t>Biedr</w:t>
      </w:r>
      <w:r>
        <w:rPr>
          <w:rFonts w:cs="Times New Roman"/>
          <w:lang w:val="lv-LV"/>
        </w:rPr>
        <w:t xml:space="preserve">ību un Nodibinājumu Likums ( Associations and Foundations Law) ( 1 April 2004) </w:t>
      </w:r>
      <w:r>
        <w:rPr>
          <w:rFonts w:cs="Times New Roman"/>
          <w:lang w:val="en-US"/>
        </w:rPr>
        <w:t xml:space="preserve"> https://likumi.lv/ta/en/en/id/81050-associations-and-foundations-law</w:t>
      </w:r>
    </w:p>
    <w:p w:rsidR="003540B4" w:rsidRDefault="008C0147">
      <w:pPr>
        <w:pStyle w:val="RGSLBodywithoutindentation"/>
        <w:numPr>
          <w:ilvl w:val="0"/>
          <w:numId w:val="10"/>
        </w:numPr>
        <w:rPr>
          <w:rFonts w:cs="Times New Roman"/>
          <w:lang w:val="en-US"/>
        </w:rPr>
      </w:pPr>
      <w:r>
        <w:rPr>
          <w:rFonts w:cs="Times New Roman"/>
          <w:lang w:val="en-GB"/>
        </w:rPr>
        <w:t xml:space="preserve">Komerclikums ( The Commercial Law) ( 1 January 2002). Available on:  </w:t>
      </w:r>
      <w:r>
        <w:rPr>
          <w:rFonts w:cs="Times New Roman"/>
          <w:lang w:val="en-US"/>
        </w:rPr>
        <w:t xml:space="preserve"> https://likumi.lv/ta/en/en/id/5490-th</w:t>
      </w:r>
      <w:r>
        <w:rPr>
          <w:rFonts w:cs="Times New Roman"/>
          <w:lang w:val="en-US"/>
        </w:rPr>
        <w:t>e-commercial-law</w:t>
      </w:r>
    </w:p>
    <w:p w:rsidR="003540B4" w:rsidRDefault="008C0147">
      <w:pPr>
        <w:pStyle w:val="RGSLBodywithoutindentation"/>
        <w:numPr>
          <w:ilvl w:val="0"/>
          <w:numId w:val="10"/>
        </w:numPr>
        <w:rPr>
          <w:rFonts w:cs="Times New Roman"/>
          <w:lang w:val="en-GB"/>
        </w:rPr>
      </w:pPr>
      <w:r>
        <w:rPr>
          <w:rFonts w:cs="Times New Roman"/>
          <w:lang w:val="en-US"/>
        </w:rPr>
        <w:t xml:space="preserve"> Kooperatīvo sabiedrību likums</w:t>
      </w:r>
      <w:r>
        <w:rPr>
          <w:rFonts w:cs="Times New Roman"/>
          <w:lang w:val="en-GB"/>
        </w:rPr>
        <w:t xml:space="preserve">( </w:t>
      </w:r>
      <w:r>
        <w:rPr>
          <w:rFonts w:cs="Times New Roman"/>
          <w:lang w:val="en-US"/>
        </w:rPr>
        <w:t>Co-operative Societies Law</w:t>
      </w:r>
      <w:r>
        <w:rPr>
          <w:rFonts w:cs="Times New Roman"/>
          <w:lang w:val="en-GB"/>
        </w:rPr>
        <w:t xml:space="preserve">) (10 March 1998) Available on: </w:t>
      </w:r>
      <w:hyperlink r:id="rId21" w:history="1">
        <w:r>
          <w:rPr>
            <w:rFonts w:cs="Times New Roman"/>
            <w:lang w:val="en-US"/>
          </w:rPr>
          <w:t>https://likumi.lv/ta/en/en/id/47009</w:t>
        </w:r>
        <w:r>
          <w:rPr>
            <w:rFonts w:cs="Times New Roman"/>
            <w:lang w:val="en-GB"/>
          </w:rPr>
          <w:t>.</w:t>
        </w:r>
      </w:hyperlink>
      <w:r>
        <w:rPr>
          <w:rFonts w:cs="Times New Roman"/>
          <w:lang w:val="en-GB"/>
        </w:rPr>
        <w:t xml:space="preserve"> Accessed April 10, 2021. </w:t>
      </w:r>
    </w:p>
    <w:p w:rsidR="003540B4" w:rsidRDefault="008C0147">
      <w:pPr>
        <w:pStyle w:val="RGSLBodywithoutindentation"/>
        <w:numPr>
          <w:ilvl w:val="0"/>
          <w:numId w:val="10"/>
        </w:numPr>
        <w:rPr>
          <w:rFonts w:cs="Times New Roman"/>
          <w:lang w:val="lv-LV"/>
        </w:rPr>
      </w:pPr>
      <w:r>
        <w:rPr>
          <w:rFonts w:cs="Times New Roman"/>
          <w:lang w:val="en-GB"/>
        </w:rPr>
        <w:t xml:space="preserve">Krimināllikums (The Criminal Law) ( 1 April 1999) Available at: </w:t>
      </w:r>
      <w:hyperlink r:id="rId22" w:history="1">
        <w:r>
          <w:rPr>
            <w:rFonts w:cs="Times New Roman"/>
            <w:lang w:val="en-GB"/>
          </w:rPr>
          <w:t>https://likumi.lv/ta/en/en/id/88966-the-criminal-law.</w:t>
        </w:r>
      </w:hyperlink>
      <w:r>
        <w:rPr>
          <w:rFonts w:cs="Times New Roman"/>
          <w:lang w:val="en-GB"/>
        </w:rPr>
        <w:t xml:space="preserve"> Accessed on April 1, 2021</w:t>
      </w:r>
      <w:r>
        <w:rPr>
          <w:rFonts w:cs="Times New Roman"/>
          <w:lang w:val="lv-LV"/>
        </w:rPr>
        <w:t>.</w:t>
      </w:r>
    </w:p>
    <w:p w:rsidR="003540B4" w:rsidRDefault="008C0147">
      <w:pPr>
        <w:pStyle w:val="RGSLBodywithoutindentation"/>
        <w:numPr>
          <w:ilvl w:val="0"/>
          <w:numId w:val="10"/>
        </w:numPr>
        <w:rPr>
          <w:rFonts w:cs="Times New Roman"/>
          <w:lang w:val="en-US"/>
        </w:rPr>
      </w:pPr>
      <w:r>
        <w:rPr>
          <w:rFonts w:cs="Times New Roman"/>
          <w:lang w:val="en-GB"/>
        </w:rPr>
        <w:t xml:space="preserve">Noziedzīgi Iegūtu Līdzekļu Legalizācijas </w:t>
      </w:r>
      <w:r>
        <w:rPr>
          <w:rFonts w:cs="Times New Roman"/>
          <w:lang w:val="en-GB"/>
        </w:rPr>
        <w:t>un Terorisma un Proliferācijas Finansēšanas Novēršanas Likums ( Law on the Prevention of Money Laundering and Terrorism and Proliferation Financing ) (</w:t>
      </w:r>
      <w:hyperlink r:id="rId23">
        <w:r>
          <w:rPr>
            <w:rFonts w:cs="Times New Roman"/>
            <w:lang w:val="en-GB"/>
          </w:rPr>
          <w:t>13 August 2008)</w:t>
        </w:r>
      </w:hyperlink>
      <w:r>
        <w:rPr>
          <w:rFonts w:cs="Times New Roman"/>
          <w:lang w:val="en-GB"/>
        </w:rPr>
        <w:t xml:space="preserve">. Available at </w:t>
      </w:r>
      <w:hyperlink r:id="rId24" w:history="1">
        <w:r>
          <w:rPr>
            <w:rFonts w:cs="Times New Roman"/>
            <w:lang w:val="en-GB"/>
          </w:rPr>
          <w:t>https://likumi.lv/ta/en/en/id/178987-law-on-the-prevention-of-money-laundering-and-terrorism-and-proliferation-financing.</w:t>
        </w:r>
      </w:hyperlink>
      <w:r>
        <w:rPr>
          <w:rFonts w:cs="Times New Roman"/>
          <w:lang w:val="en-GB"/>
        </w:rPr>
        <w:t xml:space="preserve"> Accessed April 15, 2021</w:t>
      </w:r>
    </w:p>
    <w:p w:rsidR="003540B4" w:rsidRDefault="008C0147">
      <w:pPr>
        <w:pStyle w:val="RGSLBodywithoutindentation"/>
        <w:numPr>
          <w:ilvl w:val="0"/>
          <w:numId w:val="10"/>
        </w:numPr>
        <w:rPr>
          <w:rFonts w:cs="Times New Roman"/>
          <w:lang w:val="en-US"/>
        </w:rPr>
      </w:pPr>
      <w:r>
        <w:rPr>
          <w:rFonts w:cs="Times New Roman"/>
          <w:lang w:val="en-GB"/>
        </w:rPr>
        <w:t>Politisko Partiju Likums</w:t>
      </w:r>
      <w:r>
        <w:rPr>
          <w:rFonts w:cs="Times New Roman"/>
          <w:lang w:val="en-US"/>
        </w:rPr>
        <w:t xml:space="preserve"> </w:t>
      </w:r>
      <w:r>
        <w:rPr>
          <w:rFonts w:cs="Times New Roman"/>
          <w:lang w:val="lv-LV"/>
        </w:rPr>
        <w:t xml:space="preserve">( Law on Political Parties) ( 1 January 2007). Available on: </w:t>
      </w:r>
      <w:r>
        <w:rPr>
          <w:rFonts w:cs="Times New Roman"/>
          <w:lang w:val="en-US"/>
        </w:rPr>
        <w:t>https://likumi.lv/ta/en/en/id/139367-law-on-political-parties</w:t>
      </w:r>
    </w:p>
    <w:p w:rsidR="003540B4" w:rsidRDefault="008C0147">
      <w:pPr>
        <w:pStyle w:val="RGSLBodywithoutindentation"/>
        <w:numPr>
          <w:ilvl w:val="0"/>
          <w:numId w:val="10"/>
        </w:numPr>
        <w:rPr>
          <w:rFonts w:cs="Times New Roman"/>
          <w:lang w:val="en-GB"/>
        </w:rPr>
      </w:pPr>
      <w:r>
        <w:rPr>
          <w:rFonts w:cs="Times New Roman"/>
          <w:lang w:val="en-US"/>
        </w:rPr>
        <w:t>Valsts pārvaldes iekārtas likums</w:t>
      </w:r>
      <w:r>
        <w:rPr>
          <w:rFonts w:cs="Times New Roman"/>
          <w:lang w:val="en-GB"/>
        </w:rPr>
        <w:t xml:space="preserve"> ( </w:t>
      </w:r>
      <w:r>
        <w:rPr>
          <w:rFonts w:cs="Times New Roman"/>
          <w:lang w:val="en-US"/>
        </w:rPr>
        <w:t>State Administration Structure Law</w:t>
      </w:r>
      <w:r>
        <w:rPr>
          <w:rFonts w:cs="Times New Roman"/>
          <w:lang w:val="en-GB"/>
        </w:rPr>
        <w:t>) ( 06.06.20</w:t>
      </w:r>
      <w:r>
        <w:rPr>
          <w:rFonts w:cs="Times New Roman"/>
          <w:lang w:val="en-GB"/>
        </w:rPr>
        <w:t xml:space="preserve">02) Available on: </w:t>
      </w:r>
      <w:hyperlink r:id="rId25" w:history="1">
        <w:r>
          <w:rPr>
            <w:rFonts w:cs="Times New Roman"/>
            <w:lang w:val="en-US"/>
          </w:rPr>
          <w:t>https://likumi.lv/ta/en/en/id/63545-state-administration-structure-law</w:t>
        </w:r>
        <w:r>
          <w:rPr>
            <w:rFonts w:cs="Times New Roman"/>
            <w:lang w:val="en-GB"/>
          </w:rPr>
          <w:t>.</w:t>
        </w:r>
      </w:hyperlink>
      <w:r>
        <w:rPr>
          <w:rFonts w:cs="Times New Roman"/>
          <w:lang w:val="en-GB"/>
        </w:rPr>
        <w:t xml:space="preserve"> Accessed April 10, 2021. </w:t>
      </w:r>
    </w:p>
    <w:p w:rsidR="003540B4" w:rsidRDefault="008C0147">
      <w:pPr>
        <w:pStyle w:val="RGSLBodywithoutindentation"/>
        <w:numPr>
          <w:ilvl w:val="1"/>
          <w:numId w:val="8"/>
        </w:numPr>
        <w:rPr>
          <w:rFonts w:eastAsiaTheme="majorEastAsia" w:cs="Tahoma"/>
          <w:b/>
          <w:smallCaps/>
          <w:color w:val="000000" w:themeColor="text1"/>
          <w:szCs w:val="28"/>
          <w:lang w:val="en-GB"/>
        </w:rPr>
      </w:pPr>
      <w:r>
        <w:rPr>
          <w:rFonts w:eastAsiaTheme="majorEastAsia" w:cs="Tahoma"/>
          <w:b/>
          <w:smallCaps/>
          <w:color w:val="000000" w:themeColor="text1"/>
          <w:szCs w:val="28"/>
          <w:lang w:val="en-GB"/>
        </w:rPr>
        <w:t>Case Law of the Latvian Courts</w:t>
      </w:r>
    </w:p>
    <w:p w:rsidR="003540B4" w:rsidRDefault="008C0147">
      <w:pPr>
        <w:pStyle w:val="RGSLBodywithoutindentation"/>
        <w:numPr>
          <w:ilvl w:val="0"/>
          <w:numId w:val="10"/>
        </w:numPr>
        <w:rPr>
          <w:rFonts w:cs="Times New Roman"/>
          <w:lang w:val="lv-LV"/>
        </w:rPr>
      </w:pPr>
      <w:r>
        <w:rPr>
          <w:rFonts w:cs="Times New Roman"/>
          <w:lang w:val="en-GB"/>
        </w:rPr>
        <w:t xml:space="preserve"> </w:t>
      </w:r>
      <w:r>
        <w:rPr>
          <w:rFonts w:cs="Times New Roman" w:hint="eastAsia"/>
          <w:lang w:val="en-US" w:eastAsia="zh-CN"/>
        </w:rPr>
        <w:t>R</w:t>
      </w:r>
      <w:r>
        <w:rPr>
          <w:rFonts w:cs="Times New Roman" w:hint="eastAsia"/>
          <w:lang w:val="en-US" w:eastAsia="zh-CN"/>
        </w:rPr>
        <w:t>ī</w:t>
      </w:r>
      <w:r>
        <w:rPr>
          <w:rFonts w:cs="Times New Roman" w:hint="eastAsia"/>
          <w:lang w:val="en-US" w:eastAsia="zh-CN"/>
        </w:rPr>
        <w:t>g</w:t>
      </w:r>
      <w:r>
        <w:rPr>
          <w:rFonts w:cs="Times New Roman"/>
          <w:lang w:val="lv-LV" w:eastAsia="zh-CN"/>
        </w:rPr>
        <w:t xml:space="preserve">as </w:t>
      </w:r>
      <w:r>
        <w:rPr>
          <w:rFonts w:cs="Times New Roman" w:hint="eastAsia"/>
          <w:lang w:val="en-US" w:eastAsia="zh-CN"/>
        </w:rPr>
        <w:t>Administrat</w:t>
      </w:r>
      <w:r>
        <w:rPr>
          <w:rFonts w:cs="Times New Roman" w:hint="eastAsia"/>
          <w:lang w:val="en-US" w:eastAsia="zh-CN"/>
        </w:rPr>
        <w:t>ī</w:t>
      </w:r>
      <w:r>
        <w:rPr>
          <w:rFonts w:cs="Times New Roman" w:hint="eastAsia"/>
          <w:lang w:val="en-US" w:eastAsia="zh-CN"/>
        </w:rPr>
        <w:t>v</w:t>
      </w:r>
      <w:r>
        <w:rPr>
          <w:rFonts w:cs="Times New Roman" w:hint="eastAsia"/>
          <w:lang w:val="en-US" w:eastAsia="zh-CN"/>
        </w:rPr>
        <w:t>ā</w:t>
      </w:r>
      <w:r>
        <w:rPr>
          <w:rFonts w:cs="Times New Roman" w:hint="eastAsia"/>
          <w:lang w:val="en-US" w:eastAsia="zh-CN"/>
        </w:rPr>
        <w:t xml:space="preserve"> rajona tiesa</w:t>
      </w:r>
      <w:r>
        <w:rPr>
          <w:rFonts w:cs="Times New Roman"/>
          <w:lang w:val="lv-LV" w:eastAsia="zh-CN"/>
        </w:rPr>
        <w:t xml:space="preserve"> ( Administrative District court of Riga)  </w:t>
      </w:r>
      <w:r>
        <w:rPr>
          <w:rFonts w:cs="Times New Roman" w:hint="eastAsia"/>
          <w:lang w:val="en-US" w:eastAsia="zh-CN"/>
        </w:rPr>
        <w:t>2021. gada 9. apr</w:t>
      </w:r>
      <w:r>
        <w:rPr>
          <w:rFonts w:cs="Times New Roman"/>
          <w:lang w:val="lv-LV" w:eastAsia="zh-CN"/>
        </w:rPr>
        <w:t xml:space="preserve">iļa spriedums lietā </w:t>
      </w:r>
      <w:r>
        <w:rPr>
          <w:rFonts w:cs="Times New Roman"/>
          <w:lang w:val="en-GB" w:eastAsia="zh-CN"/>
        </w:rPr>
        <w:t xml:space="preserve">Nr </w:t>
      </w:r>
      <w:r>
        <w:rPr>
          <w:rFonts w:cs="Times New Roman"/>
          <w:lang w:val="en-GB"/>
        </w:rPr>
        <w:t>A42-00223-21/15</w:t>
      </w:r>
      <w:r>
        <w:rPr>
          <w:rFonts w:cs="Times New Roman"/>
          <w:lang w:val="lv-LV"/>
        </w:rPr>
        <w:t xml:space="preserve">. Available ( in Latvian) on: </w:t>
      </w:r>
      <w:hyperlink r:id="rId26" w:history="1">
        <w:r>
          <w:rPr>
            <w:rFonts w:cs="Times New Roman"/>
            <w:lang w:val="en-GB"/>
          </w:rPr>
          <w:t>https://manas.tiesas.lv/eTiesasMvc/nolemum</w:t>
        </w:r>
        <w:r>
          <w:rPr>
            <w:rFonts w:cs="Times New Roman"/>
            <w:lang w:val="en-GB"/>
          </w:rPr>
          <w:t>i/pdf/444984.pdf</w:t>
        </w:r>
        <w:r>
          <w:rPr>
            <w:rFonts w:cs="Times New Roman"/>
            <w:lang w:val="lv-LV"/>
          </w:rPr>
          <w:t>.</w:t>
        </w:r>
      </w:hyperlink>
      <w:r>
        <w:rPr>
          <w:rFonts w:cs="Times New Roman"/>
          <w:lang w:val="lv-LV"/>
        </w:rPr>
        <w:t xml:space="preserve"> Accessed May 3, 2021</w:t>
      </w:r>
    </w:p>
    <w:p w:rsidR="003540B4" w:rsidRDefault="008C0147">
      <w:pPr>
        <w:pStyle w:val="RGSLBodywithoutindentation"/>
        <w:numPr>
          <w:ilvl w:val="0"/>
          <w:numId w:val="10"/>
        </w:numPr>
        <w:rPr>
          <w:rFonts w:cs="Times New Roman"/>
          <w:lang w:val="en-GB"/>
        </w:rPr>
      </w:pPr>
      <w:r>
        <w:rPr>
          <w:rFonts w:cs="Times New Roman"/>
          <w:lang w:val="en-GB"/>
        </w:rPr>
        <w:t xml:space="preserve"> </w:t>
      </w:r>
      <w:r>
        <w:rPr>
          <w:rFonts w:cs="Times New Roman" w:hint="eastAsia"/>
          <w:lang w:val="en-US" w:eastAsia="zh-CN"/>
        </w:rPr>
        <w:t>R</w:t>
      </w:r>
      <w:r>
        <w:rPr>
          <w:rFonts w:cs="Times New Roman" w:hint="eastAsia"/>
          <w:lang w:val="en-US" w:eastAsia="zh-CN"/>
        </w:rPr>
        <w:t>ī</w:t>
      </w:r>
      <w:r>
        <w:rPr>
          <w:rFonts w:cs="Times New Roman" w:hint="eastAsia"/>
          <w:lang w:val="en-US" w:eastAsia="zh-CN"/>
        </w:rPr>
        <w:t>g</w:t>
      </w:r>
      <w:r>
        <w:rPr>
          <w:rFonts w:cs="Times New Roman"/>
          <w:lang w:val="lv-LV" w:eastAsia="zh-CN"/>
        </w:rPr>
        <w:t xml:space="preserve">as </w:t>
      </w:r>
      <w:r>
        <w:rPr>
          <w:rFonts w:cs="Times New Roman" w:hint="eastAsia"/>
          <w:lang w:val="en-US" w:eastAsia="zh-CN"/>
        </w:rPr>
        <w:t>Administrat</w:t>
      </w:r>
      <w:r>
        <w:rPr>
          <w:rFonts w:cs="Times New Roman" w:hint="eastAsia"/>
          <w:lang w:val="en-US" w:eastAsia="zh-CN"/>
        </w:rPr>
        <w:t>ī</w:t>
      </w:r>
      <w:r>
        <w:rPr>
          <w:rFonts w:cs="Times New Roman" w:hint="eastAsia"/>
          <w:lang w:val="en-US" w:eastAsia="zh-CN"/>
        </w:rPr>
        <w:t>v</w:t>
      </w:r>
      <w:r>
        <w:rPr>
          <w:rFonts w:cs="Times New Roman" w:hint="eastAsia"/>
          <w:lang w:val="en-US" w:eastAsia="zh-CN"/>
        </w:rPr>
        <w:t>ā</w:t>
      </w:r>
      <w:r>
        <w:rPr>
          <w:rFonts w:cs="Times New Roman" w:hint="eastAsia"/>
          <w:lang w:val="en-US" w:eastAsia="zh-CN"/>
        </w:rPr>
        <w:t xml:space="preserve"> rajona tiesa</w:t>
      </w:r>
      <w:r>
        <w:rPr>
          <w:rFonts w:cs="Times New Roman"/>
          <w:lang w:val="lv-LV" w:eastAsia="zh-CN"/>
        </w:rPr>
        <w:t xml:space="preserve"> ( Administrative District court of Riga)  </w:t>
      </w:r>
      <w:r>
        <w:rPr>
          <w:rFonts w:cs="Times New Roman" w:hint="eastAsia"/>
          <w:lang w:val="en-US" w:eastAsia="zh-CN"/>
        </w:rPr>
        <w:t>2021. gada 9. apr</w:t>
      </w:r>
      <w:r>
        <w:rPr>
          <w:rFonts w:cs="Times New Roman"/>
          <w:lang w:val="lv-LV" w:eastAsia="zh-CN"/>
        </w:rPr>
        <w:t xml:space="preserve">iļa spriedums lietā </w:t>
      </w:r>
      <w:r>
        <w:rPr>
          <w:rFonts w:cs="Times New Roman"/>
          <w:lang w:val="en-GB" w:eastAsia="zh-CN"/>
        </w:rPr>
        <w:t xml:space="preserve">Nr </w:t>
      </w:r>
      <w:r>
        <w:rPr>
          <w:rFonts w:cs="Times New Roman"/>
          <w:lang w:val="en-GB"/>
        </w:rPr>
        <w:t>A42-00223-21/15</w:t>
      </w:r>
      <w:r>
        <w:rPr>
          <w:rFonts w:cs="Times New Roman"/>
          <w:lang w:val="lv-LV"/>
        </w:rPr>
        <w:t xml:space="preserve">. Available ( in Latvian) on: </w:t>
      </w:r>
      <w:hyperlink r:id="rId27" w:history="1">
        <w:r>
          <w:rPr>
            <w:rFonts w:cs="Times New Roman"/>
            <w:lang w:val="en-GB"/>
          </w:rPr>
          <w:t>https://manas.tiesas.lv/eTiesasMvc/nolemumi/pdf/444984.pdf</w:t>
        </w:r>
        <w:r>
          <w:rPr>
            <w:rFonts w:cs="Times New Roman"/>
            <w:lang w:val="lv-LV"/>
          </w:rPr>
          <w:t>.</w:t>
        </w:r>
      </w:hyperlink>
      <w:r>
        <w:rPr>
          <w:rFonts w:cs="Times New Roman"/>
          <w:lang w:val="lv-LV"/>
        </w:rPr>
        <w:t xml:space="preserve"> Accessed May 3, 2021</w:t>
      </w:r>
    </w:p>
    <w:p w:rsidR="003540B4" w:rsidRDefault="008C0147">
      <w:pPr>
        <w:pStyle w:val="RGSLHeading2"/>
        <w:numPr>
          <w:ilvl w:val="0"/>
          <w:numId w:val="8"/>
        </w:numPr>
        <w:spacing w:line="240" w:lineRule="auto"/>
        <w:ind w:right="709"/>
        <w:rPr>
          <w:rFonts w:ascii="Times New Roman" w:eastAsiaTheme="majorEastAsia" w:hAnsi="Times New Roman" w:hint="default"/>
          <w:color w:val="000000" w:themeColor="text1"/>
          <w:lang w:val="en-GB" w:eastAsia="ru-RU"/>
        </w:rPr>
      </w:pPr>
      <w:bookmarkStart w:id="54" w:name="_Toc32470"/>
      <w:r>
        <w:rPr>
          <w:rFonts w:ascii="Times New Roman" w:eastAsiaTheme="majorEastAsia" w:hAnsi="Times New Roman" w:hint="default"/>
          <w:color w:val="000000" w:themeColor="text1"/>
          <w:lang w:val="en-GB" w:eastAsia="ru-RU"/>
        </w:rPr>
        <w:t>Secondary Sources</w:t>
      </w:r>
      <w:bookmarkEnd w:id="54"/>
      <w:r>
        <w:rPr>
          <w:rFonts w:ascii="Times New Roman" w:eastAsiaTheme="majorEastAsia" w:hAnsi="Times New Roman" w:hint="default"/>
          <w:color w:val="000000" w:themeColor="text1"/>
          <w:lang w:val="en-GB" w:eastAsia="ru-RU"/>
        </w:rPr>
        <w:t xml:space="preserve"> </w:t>
      </w:r>
    </w:p>
    <w:p w:rsidR="003540B4" w:rsidRDefault="008C0147">
      <w:pPr>
        <w:pStyle w:val="RGSLBodywithoutindentation"/>
        <w:rPr>
          <w:rFonts w:eastAsiaTheme="majorEastAsia" w:cs="Tahoma"/>
          <w:b/>
          <w:smallCaps/>
          <w:color w:val="000000" w:themeColor="text1"/>
          <w:szCs w:val="28"/>
          <w:lang w:val="lv-LV"/>
        </w:rPr>
      </w:pPr>
      <w:r>
        <w:rPr>
          <w:rFonts w:eastAsiaTheme="majorEastAsia" w:cs="Tahoma"/>
          <w:b/>
          <w:smallCaps/>
          <w:color w:val="000000" w:themeColor="text1"/>
          <w:szCs w:val="28"/>
          <w:lang w:val="ru-RU"/>
        </w:rPr>
        <w:t>2</w:t>
      </w:r>
      <w:r>
        <w:rPr>
          <w:rFonts w:eastAsiaTheme="majorEastAsia" w:cs="Tahoma"/>
          <w:b/>
          <w:smallCaps/>
          <w:color w:val="000000" w:themeColor="text1"/>
          <w:szCs w:val="28"/>
          <w:lang w:val="en-GB"/>
        </w:rPr>
        <w:t>.1.</w:t>
      </w:r>
      <w:r>
        <w:rPr>
          <w:rFonts w:eastAsiaTheme="majorEastAsia" w:cs="Tahoma"/>
          <w:b/>
          <w:smallCaps/>
          <w:color w:val="000000" w:themeColor="text1"/>
          <w:szCs w:val="28"/>
          <w:lang w:val="en-GB"/>
        </w:rPr>
        <w:t xml:space="preserve">Books and </w:t>
      </w:r>
      <w:r>
        <w:rPr>
          <w:rFonts w:eastAsiaTheme="majorEastAsia" w:cs="Tahoma"/>
          <w:b/>
          <w:smallCaps/>
          <w:color w:val="000000" w:themeColor="text1"/>
          <w:szCs w:val="28"/>
          <w:lang w:val="en-GB"/>
        </w:rPr>
        <w:t xml:space="preserve">on-line </w:t>
      </w:r>
      <w:r>
        <w:rPr>
          <w:rFonts w:eastAsiaTheme="majorEastAsia" w:cs="Tahoma"/>
          <w:b/>
          <w:smallCaps/>
          <w:color w:val="000000" w:themeColor="text1"/>
          <w:szCs w:val="28"/>
          <w:lang w:val="en-GB"/>
        </w:rPr>
        <w:t xml:space="preserve">Journal Articles </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Agostino,</w:t>
      </w: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 xml:space="preserve">Vanessa and Riccardi, Michele. Identifying Beneficial Owners For Fighting Against Money Laundering: The Results of EU Project Bownet, Europeann Police Science and Research Bulletin, issue 8 ( 2013): p. 15. Available on:  </w:t>
      </w:r>
      <w:hyperlink r:id="rId28" w:history="1">
        <w:r>
          <w:rPr>
            <w:rFonts w:ascii="Times New Roman" w:eastAsia="Times New Roman" w:hAnsi="Times New Roman" w:cs="Times New Roman"/>
            <w:sz w:val="24"/>
            <w:szCs w:val="24"/>
            <w:lang w:eastAsia="en-US"/>
          </w:rPr>
          <w:t>https://heinonline.org/HOL/Page?collection=journals&amp;handle=hein.journals/elerb8&amp;id=14&amp;men_tab=srchresults</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xml:space="preserve"> Accessed March 15,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Anti- Money Laundering Forum. Europe</w:t>
      </w:r>
      <w:r>
        <w:rPr>
          <w:rFonts w:ascii="Times New Roman" w:eastAsia="Times New Roman" w:hAnsi="Times New Roman" w:cs="Times New Roman"/>
          <w:sz w:val="24"/>
          <w:szCs w:val="24"/>
          <w:lang w:val="en-GB" w:eastAsia="en-US"/>
        </w:rPr>
        <w:t xml:space="preserve">, available on: </w:t>
      </w:r>
      <w:hyperlink r:id="rId29" w:history="1">
        <w:r>
          <w:rPr>
            <w:rFonts w:ascii="Times New Roman" w:eastAsia="Times New Roman" w:hAnsi="Times New Roman" w:cs="Times New Roman"/>
            <w:sz w:val="24"/>
            <w:szCs w:val="24"/>
            <w:lang w:eastAsia="en-US"/>
          </w:rPr>
          <w:t>https://www.anti-moneylaundering.org/Europe.aspx</w:t>
        </w:r>
      </w:hyperlink>
      <w:r>
        <w:rPr>
          <w:rFonts w:ascii="Times New Roman" w:eastAsia="Times New Roman" w:hAnsi="Times New Roman" w:cs="Times New Roman"/>
          <w:sz w:val="24"/>
          <w:szCs w:val="24"/>
          <w:lang w:val="en-GB" w:eastAsia="en-US"/>
        </w:rPr>
        <w:t>. A</w:t>
      </w:r>
      <w:r>
        <w:rPr>
          <w:rFonts w:ascii="Times New Roman" w:eastAsia="Times New Roman" w:hAnsi="Times New Roman" w:cs="Times New Roman"/>
          <w:sz w:val="24"/>
          <w:szCs w:val="24"/>
          <w:lang w:val="lv-LV" w:eastAsia="en-US"/>
        </w:rPr>
        <w:t xml:space="preserve">ccessed </w:t>
      </w:r>
      <w:r>
        <w:rPr>
          <w:rFonts w:ascii="Times New Roman" w:eastAsia="Times New Roman" w:hAnsi="Times New Roman" w:cs="Times New Roman"/>
          <w:sz w:val="24"/>
          <w:szCs w:val="24"/>
          <w:lang w:val="en-GB" w:eastAsia="en-US"/>
        </w:rPr>
        <w:t xml:space="preserve">on March 10, 2021. </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Bloomberg, National Media Group CJSC, available on:  </w:t>
      </w:r>
      <w:r>
        <w:rPr>
          <w:rFonts w:ascii="Times New Roman" w:eastAsia="Times New Roman" w:hAnsi="Times New Roman" w:cs="Times New Roman"/>
          <w:sz w:val="24"/>
          <w:szCs w:val="24"/>
          <w:lang w:eastAsia="en-US"/>
        </w:rPr>
        <w:t>https://www.bloomberg.com/profile/company/2</w:t>
      </w:r>
      <w:r>
        <w:rPr>
          <w:rFonts w:ascii="Times New Roman" w:eastAsia="Times New Roman" w:hAnsi="Times New Roman" w:cs="Times New Roman"/>
          <w:sz w:val="24"/>
          <w:szCs w:val="24"/>
          <w:lang w:eastAsia="en-US"/>
        </w:rPr>
        <w:t>847048Z:RU</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Boister, Neil; An Introduction to transnational criminal law. Oxford University Press, 2018.</w:t>
      </w:r>
    </w:p>
    <w:p w:rsidR="003540B4" w:rsidRDefault="008C0147">
      <w:pPr>
        <w:pStyle w:val="RGSLNormal"/>
        <w:numPr>
          <w:ilvl w:val="0"/>
          <w:numId w:val="11"/>
        </w:num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lv-LV" w:eastAsia="en-US"/>
        </w:rPr>
        <w:t>Council of Europe Portal</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lv-LV" w:eastAsia="en-US"/>
        </w:rPr>
        <w:t xml:space="preserve">Committee of Experts on the Evaluation of Anti-Money Laundering Measures and the Financing of Terrorism. Available on: </w:t>
      </w:r>
      <w:hyperlink r:id="rId30" w:history="1">
        <w:r>
          <w:rPr>
            <w:rFonts w:ascii="Times New Roman" w:eastAsia="Times New Roman" w:hAnsi="Times New Roman" w:cs="Times New Roman"/>
            <w:sz w:val="24"/>
            <w:szCs w:val="24"/>
            <w:lang w:val="lv-LV" w:eastAsia="en-US"/>
          </w:rPr>
          <w:t>h</w:t>
        </w:r>
        <w:r>
          <w:rPr>
            <w:rFonts w:ascii="Times New Roman" w:eastAsia="Times New Roman" w:hAnsi="Times New Roman" w:cs="Times New Roman"/>
            <w:sz w:val="24"/>
            <w:szCs w:val="24"/>
            <w:lang w:val="en-GB" w:eastAsia="en-US"/>
          </w:rPr>
          <w:t>ttps://www.coe.int/en/web/moneyval</w:t>
        </w:r>
        <w:r>
          <w:rPr>
            <w:rFonts w:ascii="Times New Roman" w:eastAsia="Times New Roman" w:hAnsi="Times New Roman" w:cs="Times New Roman"/>
            <w:sz w:val="24"/>
            <w:szCs w:val="24"/>
            <w:lang w:val="lv-LV" w:eastAsia="en-US"/>
          </w:rPr>
          <w:t>.</w:t>
        </w:r>
      </w:hyperlink>
      <w:r>
        <w:rPr>
          <w:rFonts w:ascii="Times New Roman" w:eastAsia="Times New Roman" w:hAnsi="Times New Roman" w:cs="Times New Roman"/>
          <w:sz w:val="24"/>
          <w:szCs w:val="24"/>
          <w:lang w:val="lv-LV" w:eastAsia="en-US"/>
        </w:rPr>
        <w:t xml:space="preserve"> Accessed M</w:t>
      </w:r>
      <w:r>
        <w:rPr>
          <w:rFonts w:ascii="Times New Roman" w:eastAsia="Times New Roman" w:hAnsi="Times New Roman" w:cs="Times New Roman"/>
          <w:sz w:val="24"/>
          <w:szCs w:val="24"/>
          <w:lang w:val="en-GB" w:eastAsia="en-US"/>
        </w:rPr>
        <w:t>a</w:t>
      </w:r>
      <w:r>
        <w:rPr>
          <w:rFonts w:ascii="Times New Roman" w:eastAsia="Times New Roman" w:hAnsi="Times New Roman" w:cs="Times New Roman"/>
          <w:sz w:val="24"/>
          <w:szCs w:val="24"/>
          <w:lang w:val="lv-LV" w:eastAsia="en-US"/>
        </w:rPr>
        <w:t>rch 30,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European Comission</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Capital Movements. Overview</w:t>
      </w:r>
      <w:r>
        <w:rPr>
          <w:rFonts w:ascii="Times New Roman" w:eastAsia="Times New Roman" w:hAnsi="Times New Roman" w:cs="Times New Roman"/>
          <w:sz w:val="24"/>
          <w:szCs w:val="24"/>
          <w:lang w:val="en-GB" w:eastAsia="en-US"/>
        </w:rPr>
        <w:t>. A</w:t>
      </w:r>
      <w:r>
        <w:rPr>
          <w:rFonts w:ascii="Times New Roman" w:eastAsia="Times New Roman" w:hAnsi="Times New Roman" w:cs="Times New Roman"/>
          <w:sz w:val="24"/>
          <w:szCs w:val="24"/>
          <w:lang w:val="en-GB" w:eastAsia="en-US"/>
        </w:rPr>
        <w:t xml:space="preserve">vailable at: </w:t>
      </w:r>
      <w:hyperlink r:id="rId31" w:history="1">
        <w:r>
          <w:rPr>
            <w:rFonts w:ascii="Times New Roman" w:eastAsia="Times New Roman" w:hAnsi="Times New Roman" w:cs="Times New Roman"/>
            <w:sz w:val="24"/>
            <w:szCs w:val="24"/>
            <w:lang w:val="en-GB" w:eastAsia="en-US"/>
          </w:rPr>
          <w:t>https://ec.europa.eu/info/business-economy-euro/banking-and-finance/financial-markets/capital-movements_en.</w:t>
        </w:r>
      </w:hyperlink>
      <w:r>
        <w:rPr>
          <w:rFonts w:ascii="Times New Roman" w:eastAsia="Times New Roman" w:hAnsi="Times New Roman" w:cs="Times New Roman"/>
          <w:sz w:val="24"/>
          <w:szCs w:val="24"/>
          <w:lang w:val="en-GB" w:eastAsia="en-US"/>
        </w:rPr>
        <w:t xml:space="preserve"> Accesed on November 7, 2020.</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 xml:space="preserve"> European Commission. Anti-money laundering and counter terrorist financi</w:t>
      </w:r>
      <w:r>
        <w:rPr>
          <w:rFonts w:ascii="Times New Roman" w:eastAsia="Times New Roman" w:hAnsi="Times New Roman" w:cs="Times New Roman"/>
          <w:sz w:val="24"/>
          <w:szCs w:val="24"/>
          <w:lang w:val="en-GB" w:eastAsia="en-US"/>
        </w:rPr>
        <w:t>ng</w:t>
      </w:r>
      <w:r>
        <w:rPr>
          <w:rFonts w:ascii="Times New Roman" w:eastAsia="Times New Roman" w:hAnsi="Times New Roman" w:cs="Times New Roman"/>
          <w:sz w:val="24"/>
          <w:szCs w:val="24"/>
          <w:lang w:val="en-GB" w:eastAsia="en-US"/>
        </w:rPr>
        <w:t>. A</w:t>
      </w:r>
      <w:r>
        <w:rPr>
          <w:rFonts w:ascii="Times New Roman" w:eastAsia="Times New Roman" w:hAnsi="Times New Roman" w:cs="Times New Roman"/>
          <w:sz w:val="24"/>
          <w:szCs w:val="24"/>
          <w:lang w:val="en-GB" w:eastAsia="en-US"/>
        </w:rPr>
        <w:t xml:space="preserve">vailable on: </w:t>
      </w:r>
      <w:hyperlink r:id="rId32" w:history="1">
        <w:r>
          <w:rPr>
            <w:rFonts w:ascii="Times New Roman" w:eastAsia="Times New Roman" w:hAnsi="Times New Roman" w:cs="Times New Roman"/>
            <w:sz w:val="24"/>
            <w:szCs w:val="24"/>
            <w:lang w:val="en-GB" w:eastAsia="en-US"/>
          </w:rPr>
          <w:t>https://ec.europa.eu/info/business-economy-euro/banking-a</w:t>
        </w:r>
        <w:r>
          <w:rPr>
            <w:rFonts w:ascii="Times New Roman" w:eastAsia="Times New Roman" w:hAnsi="Times New Roman" w:cs="Times New Roman"/>
            <w:sz w:val="24"/>
            <w:szCs w:val="24"/>
            <w:lang w:val="en-GB" w:eastAsia="en-US"/>
          </w:rPr>
          <w:t>nd-finance/financial-supervision-and-risk-management/anti-money-laundering-and-counter-terrorist-financing_en.</w:t>
        </w:r>
      </w:hyperlink>
      <w:r>
        <w:rPr>
          <w:rFonts w:ascii="Times New Roman" w:eastAsia="Times New Roman" w:hAnsi="Times New Roman" w:cs="Times New Roman"/>
          <w:sz w:val="24"/>
          <w:szCs w:val="24"/>
          <w:lang w:val="en-GB" w:eastAsia="en-US"/>
        </w:rPr>
        <w:t xml:space="preserve"> Accessed March 9,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 European Union</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Trade</w:t>
      </w:r>
      <w:r>
        <w:rPr>
          <w:rFonts w:ascii="Times New Roman" w:eastAsia="Times New Roman" w:hAnsi="Times New Roman" w:cs="Times New Roman"/>
          <w:sz w:val="24"/>
          <w:szCs w:val="24"/>
          <w:lang w:val="en-GB" w:eastAsia="en-US"/>
        </w:rPr>
        <w:t>. A</w:t>
      </w:r>
      <w:r>
        <w:rPr>
          <w:rFonts w:ascii="Times New Roman" w:eastAsia="Times New Roman" w:hAnsi="Times New Roman" w:cs="Times New Roman"/>
          <w:sz w:val="24"/>
          <w:szCs w:val="24"/>
          <w:lang w:val="en-GB" w:eastAsia="en-US"/>
        </w:rPr>
        <w:t xml:space="preserve">vailable at: </w:t>
      </w:r>
      <w:hyperlink r:id="rId33" w:history="1">
        <w:r>
          <w:rPr>
            <w:rFonts w:ascii="Times New Roman" w:eastAsia="Times New Roman" w:hAnsi="Times New Roman" w:cs="Times New Roman"/>
            <w:sz w:val="24"/>
            <w:szCs w:val="24"/>
            <w:lang w:val="en-GB" w:eastAsia="en-US"/>
          </w:rPr>
          <w:t>https://europa.eu/</w:t>
        </w:r>
        <w:r>
          <w:rPr>
            <w:rFonts w:ascii="Times New Roman" w:eastAsia="Times New Roman" w:hAnsi="Times New Roman" w:cs="Times New Roman"/>
            <w:sz w:val="24"/>
            <w:szCs w:val="24"/>
            <w:lang w:val="en-GB" w:eastAsia="en-US"/>
          </w:rPr>
          <w:t>european-union/topics/trade_en</w:t>
        </w:r>
      </w:hyperlink>
      <w:r>
        <w:rPr>
          <w:rFonts w:ascii="Times New Roman" w:eastAsia="Times New Roman" w:hAnsi="Times New Roman" w:cs="Times New Roman"/>
          <w:sz w:val="24"/>
          <w:szCs w:val="24"/>
          <w:lang w:val="en-GB" w:eastAsia="en-US"/>
        </w:rPr>
        <w:t>. Accesed on November 7, 2020.</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FATF GAFI</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Financial Action Task force on Money Laundering. The Forty Recommendations</w:t>
      </w:r>
      <w:r>
        <w:rPr>
          <w:rFonts w:ascii="Times New Roman" w:eastAsia="Times New Roman" w:hAnsi="Times New Roman" w:cs="Times New Roman"/>
          <w:sz w:val="24"/>
          <w:szCs w:val="24"/>
          <w:lang w:val="en-GB" w:eastAsia="en-US"/>
        </w:rPr>
        <w:t>. A</w:t>
      </w:r>
      <w:r>
        <w:rPr>
          <w:rFonts w:ascii="Times New Roman" w:eastAsia="Times New Roman" w:hAnsi="Times New Roman" w:cs="Times New Roman"/>
          <w:sz w:val="24"/>
          <w:szCs w:val="24"/>
          <w:lang w:val="en-GB" w:eastAsia="en-US"/>
        </w:rPr>
        <w:t xml:space="preserve">vailable at: </w:t>
      </w:r>
      <w:hyperlink r:id="rId34" w:history="1">
        <w:r>
          <w:rPr>
            <w:rFonts w:ascii="Times New Roman" w:eastAsia="Times New Roman" w:hAnsi="Times New Roman" w:cs="Times New Roman"/>
            <w:sz w:val="24"/>
            <w:szCs w:val="24"/>
            <w:lang w:val="en-GB" w:eastAsia="en-US"/>
          </w:rPr>
          <w:t>https://www.fatf-gafi.org/media/fatf/documents/recommendations/pdfs/FATF%20Recommendations%201996.pdf.</w:t>
        </w:r>
      </w:hyperlink>
      <w:r>
        <w:rPr>
          <w:rFonts w:ascii="Times New Roman" w:eastAsia="Times New Roman" w:hAnsi="Times New Roman" w:cs="Times New Roman"/>
          <w:sz w:val="24"/>
          <w:szCs w:val="24"/>
          <w:lang w:val="en-GB" w:eastAsia="en-US"/>
        </w:rPr>
        <w:t xml:space="preserve"> </w:t>
      </w:r>
    </w:p>
    <w:p w:rsidR="003540B4" w:rsidRDefault="008C0147">
      <w:pPr>
        <w:pStyle w:val="RGSLNormal"/>
        <w:numPr>
          <w:ilvl w:val="0"/>
          <w:numId w:val="11"/>
        </w:numPr>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eastAsia="en-US"/>
        </w:rPr>
        <w:t xml:space="preserve"> FATF guidance</w:t>
      </w:r>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eastAsia="en-US"/>
        </w:rPr>
        <w:t>T</w:t>
      </w:r>
      <w:r>
        <w:rPr>
          <w:rFonts w:ascii="Times New Roman" w:eastAsia="Times New Roman" w:hAnsi="Times New Roman" w:cs="Times New Roman"/>
          <w:sz w:val="24"/>
          <w:szCs w:val="24"/>
          <w:lang w:val="lv-LV" w:eastAsia="en-US"/>
        </w:rPr>
        <w:t>ransparency and Beneficial O</w:t>
      </w:r>
      <w:r>
        <w:rPr>
          <w:rFonts w:ascii="Times New Roman" w:eastAsia="Times New Roman" w:hAnsi="Times New Roman" w:cs="Times New Roman"/>
          <w:sz w:val="24"/>
          <w:szCs w:val="24"/>
          <w:lang w:val="lv-LV" w:eastAsia="en-US"/>
        </w:rPr>
        <w:t xml:space="preserve">wnership. Available on: </w:t>
      </w:r>
      <w:hyperlink r:id="rId35" w:history="1">
        <w:r>
          <w:rPr>
            <w:rFonts w:ascii="Times New Roman" w:eastAsia="Times New Roman" w:hAnsi="Times New Roman" w:cs="Times New Roman"/>
            <w:sz w:val="24"/>
            <w:szCs w:val="24"/>
            <w:lang w:eastAsia="en-US"/>
          </w:rPr>
          <w:t>http://www.fatf-gafi.org/media/fatf/documents/reports/Guidance-transparency-beneficial-ownership.pdf</w:t>
        </w:r>
        <w:r>
          <w:rPr>
            <w:rFonts w:ascii="Times New Roman" w:eastAsia="Times New Roman" w:hAnsi="Times New Roman" w:cs="Times New Roman"/>
            <w:sz w:val="24"/>
            <w:szCs w:val="24"/>
            <w:lang w:val="lv-LV" w:eastAsia="en-US"/>
          </w:rPr>
          <w:t>.</w:t>
        </w:r>
      </w:hyperlink>
      <w:r>
        <w:rPr>
          <w:rFonts w:ascii="Times New Roman" w:eastAsia="Times New Roman" w:hAnsi="Times New Roman" w:cs="Times New Roman"/>
          <w:sz w:val="24"/>
          <w:szCs w:val="24"/>
          <w:lang w:val="lv-LV" w:eastAsia="en-US"/>
        </w:rPr>
        <w:t xml:space="preserve"> Accessed Apr</w:t>
      </w:r>
      <w:r>
        <w:rPr>
          <w:rFonts w:ascii="Times New Roman" w:eastAsia="Times New Roman" w:hAnsi="Times New Roman" w:cs="Times New Roman"/>
          <w:sz w:val="24"/>
          <w:szCs w:val="24"/>
          <w:lang w:val="lv-LV" w:eastAsia="en-US"/>
        </w:rPr>
        <w:t>il 1,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  Finance and Capital Market Comission. </w:t>
      </w:r>
      <w:r>
        <w:rPr>
          <w:rFonts w:ascii="Times New Roman" w:eastAsia="Times New Roman" w:hAnsi="Times New Roman" w:cs="Times New Roman"/>
          <w:sz w:val="24"/>
          <w:szCs w:val="24"/>
          <w:lang w:eastAsia="en-US"/>
        </w:rPr>
        <w:t>Kredītiestāžu klientu – biedrību – patieso labuma guvē ju noskaidrošana</w:t>
      </w:r>
      <w:r>
        <w:rPr>
          <w:rFonts w:ascii="Times New Roman" w:eastAsia="Times New Roman" w:hAnsi="Times New Roman" w:cs="Times New Roman"/>
          <w:sz w:val="24"/>
          <w:szCs w:val="24"/>
          <w:lang w:val="en-GB" w:eastAsia="en-US"/>
        </w:rPr>
        <w:t>. Available</w:t>
      </w:r>
      <w:r>
        <w:rPr>
          <w:rFonts w:ascii="Times New Roman" w:eastAsia="Times New Roman" w:hAnsi="Times New Roman" w:cs="Times New Roman"/>
          <w:sz w:val="24"/>
          <w:szCs w:val="24"/>
          <w:lang w:val="en-GB" w:eastAsia="en-US"/>
        </w:rPr>
        <w:t xml:space="preserve"> ( available in Latvian) </w:t>
      </w:r>
      <w:r>
        <w:rPr>
          <w:rFonts w:ascii="Times New Roman" w:eastAsia="Times New Roman" w:hAnsi="Times New Roman" w:cs="Times New Roman"/>
          <w:sz w:val="24"/>
          <w:szCs w:val="24"/>
          <w:lang w:val="en-GB" w:eastAsia="en-US"/>
        </w:rPr>
        <w:t xml:space="preserve"> at: </w:t>
      </w:r>
      <w:hyperlink r:id="rId36" w:history="1">
        <w:r>
          <w:rPr>
            <w:rFonts w:ascii="Times New Roman" w:eastAsia="Times New Roman" w:hAnsi="Times New Roman" w:cs="Times New Roman"/>
            <w:sz w:val="24"/>
            <w:szCs w:val="24"/>
            <w:lang w:eastAsia="en-US"/>
          </w:rPr>
          <w:t>https:</w:t>
        </w:r>
        <w:r>
          <w:rPr>
            <w:rFonts w:ascii="Times New Roman" w:eastAsia="Times New Roman" w:hAnsi="Times New Roman" w:cs="Times New Roman"/>
            <w:sz w:val="24"/>
            <w:szCs w:val="24"/>
            <w:lang w:eastAsia="en-US"/>
          </w:rPr>
          <w:t>//www.fktk.lv/wp-content/uploads/2021/01/08.01.01.-_33_PLG_NVO.pdf</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xml:space="preserve"> Accessed April 5,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F</w:t>
      </w:r>
      <w:r>
        <w:rPr>
          <w:rFonts w:ascii="Times New Roman" w:eastAsia="Times New Roman" w:hAnsi="Times New Roman" w:cs="Times New Roman"/>
          <w:sz w:val="24"/>
          <w:szCs w:val="24"/>
          <w:lang w:val="en-GB" w:eastAsia="en-US"/>
        </w:rPr>
        <w:t xml:space="preserve">innancial Action Task Force on Money Laundering. Annual Report 1996-1997. Available on: </w:t>
      </w:r>
      <w:hyperlink r:id="rId37" w:history="1">
        <w:r>
          <w:rPr>
            <w:rFonts w:ascii="Times New Roman" w:eastAsia="Times New Roman" w:hAnsi="Times New Roman" w:cs="Times New Roman"/>
            <w:sz w:val="24"/>
            <w:szCs w:val="24"/>
            <w:lang w:eastAsia="en-US"/>
          </w:rPr>
          <w:t>https://www.fatf-gafi.org/media/fatf/documents/reports/1996%201997%20ENG.pdf</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xml:space="preserve"> Accessed March 23, 20. </w:t>
      </w:r>
    </w:p>
    <w:p w:rsidR="003540B4" w:rsidRDefault="008C0147">
      <w:pPr>
        <w:pStyle w:val="RGSLNormal"/>
        <w:numPr>
          <w:ilvl w:val="0"/>
          <w:numId w:val="11"/>
        </w:num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Juris Juriss, Money laundering ( Noziedzīgi Iegūtu Līdzekļu Legalizēšan</w:t>
      </w:r>
      <w:r>
        <w:rPr>
          <w:rFonts w:ascii="Times New Roman" w:eastAsia="Times New Roman" w:hAnsi="Times New Roman" w:cs="Times New Roman"/>
          <w:sz w:val="24"/>
          <w:szCs w:val="24"/>
          <w:lang w:val="en-GB" w:eastAsia="en-US"/>
        </w:rPr>
        <w:t xml:space="preserve">a) ( available in Latvian). Available on:  </w:t>
      </w:r>
      <w:hyperlink r:id="rId38" w:history="1">
        <w:r>
          <w:rPr>
            <w:rFonts w:ascii="Times New Roman" w:eastAsia="Times New Roman" w:hAnsi="Times New Roman" w:cs="Times New Roman"/>
            <w:sz w:val="24"/>
            <w:szCs w:val="24"/>
            <w:lang w:val="en-GB" w:eastAsia="en-US"/>
          </w:rPr>
          <w:t>https://dspace.lu.lv/dspace/bitstream/handle/7/5198/33657-Juris_Juriss_2013.pdf?sequence=1</w:t>
        </w:r>
      </w:hyperlink>
      <w:r>
        <w:rPr>
          <w:rFonts w:ascii="Times New Roman" w:eastAsia="Times New Roman" w:hAnsi="Times New Roman" w:cs="Times New Roman"/>
          <w:sz w:val="24"/>
          <w:szCs w:val="24"/>
          <w:lang w:val="en-GB" w:eastAsia="en-US"/>
        </w:rPr>
        <w:t>. P 107</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eastAsia="en-US"/>
        </w:rPr>
        <w:t>Kaplans</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Jakovs</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Risk-Based Approach in the European Anti-Money Laundering Legislation: Origins, Benefits, and Implications</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A</w:t>
      </w:r>
      <w:r>
        <w:rPr>
          <w:rFonts w:ascii="Times New Roman" w:eastAsia="Times New Roman" w:hAnsi="Times New Roman" w:cs="Times New Roman"/>
          <w:sz w:val="24"/>
          <w:szCs w:val="24"/>
          <w:lang w:val="en-GB" w:eastAsia="en-US"/>
        </w:rPr>
        <w:t>vailble on:</w:t>
      </w:r>
      <w:hyperlink r:id="rId39" w:history="1">
        <w:r>
          <w:rPr>
            <w:rFonts w:ascii="Times New Roman" w:eastAsia="Times New Roman" w:hAnsi="Times New Roman" w:cs="Times New Roman"/>
            <w:sz w:val="24"/>
            <w:szCs w:val="24"/>
            <w:lang w:eastAsia="en-US"/>
          </w:rPr>
          <w:t>https://core.ac.uk/download/pdf/188582432.pdf</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xml:space="preserve"> p 23</w:t>
      </w:r>
      <w:r>
        <w:rPr>
          <w:rFonts w:ascii="Times New Roman" w:eastAsia="Times New Roman" w:hAnsi="Times New Roman" w:cs="Times New Roman"/>
          <w:sz w:val="24"/>
          <w:szCs w:val="24"/>
          <w:lang w:val="en-GB" w:eastAsia="en-US"/>
        </w:rPr>
        <w:t xml:space="preserve">. Accessed </w:t>
      </w:r>
      <w:r>
        <w:rPr>
          <w:rFonts w:ascii="Times New Roman" w:eastAsia="Times New Roman" w:hAnsi="Times New Roman" w:cs="Times New Roman"/>
          <w:sz w:val="24"/>
          <w:szCs w:val="24"/>
          <w:lang w:val="en-GB" w:eastAsia="en-US"/>
        </w:rPr>
        <w:t>March 28,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Kourtellos</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Dr. Pavlos Neofytou</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Implications of the Third Money Laundering Directive</w:t>
      </w:r>
      <w:r>
        <w:rPr>
          <w:rFonts w:ascii="Times New Roman" w:eastAsia="Times New Roman" w:hAnsi="Times New Roman" w:cs="Times New Roman"/>
          <w:sz w:val="24"/>
          <w:szCs w:val="24"/>
          <w:lang w:val="en-GB" w:eastAsia="en-US"/>
        </w:rPr>
        <w:t xml:space="preserve">, p.9, available on: </w:t>
      </w:r>
      <w:hyperlink r:id="rId40" w:history="1">
        <w:r>
          <w:rPr>
            <w:rFonts w:ascii="Times New Roman" w:eastAsia="Times New Roman" w:hAnsi="Times New Roman" w:cs="Times New Roman"/>
            <w:sz w:val="24"/>
            <w:szCs w:val="24"/>
            <w:lang w:eastAsia="en-US"/>
          </w:rPr>
          <w:t>https://w</w:t>
        </w:r>
        <w:r>
          <w:rPr>
            <w:rFonts w:ascii="Times New Roman" w:eastAsia="Times New Roman" w:hAnsi="Times New Roman" w:cs="Times New Roman"/>
            <w:sz w:val="24"/>
            <w:szCs w:val="24"/>
            <w:lang w:eastAsia="en-US"/>
          </w:rPr>
          <w:t>ww.kourtelaw.com/uc/wp-content/uploads/2014/02/Implications-of-the-3rd-Monvey-Laundering-Directive.pdf</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Accessed March 12, 2021</w:t>
      </w:r>
    </w:p>
    <w:p w:rsidR="003540B4" w:rsidRDefault="008C0147">
      <w:pPr>
        <w:pStyle w:val="RGSLNormal"/>
        <w:numPr>
          <w:ilvl w:val="0"/>
          <w:numId w:val="11"/>
        </w:numPr>
        <w:jc w:val="both"/>
        <w:rPr>
          <w:rFonts w:ascii="Times New Roman" w:eastAsia="Times New Roman" w:hAnsi="Times New Roman" w:cs="Times New Roman"/>
          <w:sz w:val="24"/>
          <w:szCs w:val="24"/>
          <w:lang w:val="lv-LV"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Latvijas Invest</w:t>
      </w:r>
      <w:r>
        <w:rPr>
          <w:rFonts w:ascii="Times New Roman" w:eastAsia="Times New Roman" w:hAnsi="Times New Roman" w:cs="Times New Roman"/>
          <w:sz w:val="24"/>
          <w:szCs w:val="24"/>
          <w:lang w:val="lv-LV" w:eastAsia="en-US"/>
        </w:rPr>
        <w:t>ī</w:t>
      </w:r>
      <w:r>
        <w:rPr>
          <w:rFonts w:ascii="Times New Roman" w:eastAsia="Times New Roman" w:hAnsi="Times New Roman" w:cs="Times New Roman"/>
          <w:sz w:val="24"/>
          <w:szCs w:val="24"/>
          <w:lang w:val="en-GB" w:eastAsia="en-US"/>
        </w:rPr>
        <w:t xml:space="preserve">ciju un </w:t>
      </w:r>
      <w:r>
        <w:rPr>
          <w:rFonts w:ascii="Times New Roman" w:eastAsia="Times New Roman" w:hAnsi="Times New Roman" w:cs="Times New Roman"/>
          <w:sz w:val="24"/>
          <w:szCs w:val="24"/>
          <w:lang w:val="lv-LV" w:eastAsia="en-US"/>
        </w:rPr>
        <w:t xml:space="preserve">Attistības Aģentūra ( Investment and Development Agency of Latvia.) Sainiecisko darbību klasifikācija NACE 2. red . Available ( in Latvian) on: </w:t>
      </w:r>
      <w:hyperlink r:id="rId41" w:history="1">
        <w:r>
          <w:rPr>
            <w:rFonts w:ascii="Times New Roman" w:eastAsia="Times New Roman" w:hAnsi="Times New Roman" w:cs="Times New Roman"/>
            <w:sz w:val="24"/>
            <w:szCs w:val="24"/>
            <w:lang w:val="en-GB" w:eastAsia="en-US"/>
          </w:rPr>
          <w:t>https://www.liaa.gov.lv/lv</w:t>
        </w:r>
        <w:r>
          <w:rPr>
            <w:rFonts w:ascii="Times New Roman" w:eastAsia="Times New Roman" w:hAnsi="Times New Roman" w:cs="Times New Roman"/>
            <w:sz w:val="24"/>
            <w:szCs w:val="24"/>
            <w:lang w:val="en-GB" w:eastAsia="en-US"/>
          </w:rPr>
          <w:t>/programmas/noderigi/klasifikacija-nace-2-red</w:t>
        </w:r>
        <w:r>
          <w:rPr>
            <w:rFonts w:ascii="Times New Roman" w:eastAsia="Times New Roman" w:hAnsi="Times New Roman" w:cs="Times New Roman"/>
            <w:sz w:val="24"/>
            <w:szCs w:val="24"/>
            <w:lang w:val="lv-LV" w:eastAsia="en-US"/>
          </w:rPr>
          <w:t>.</w:t>
        </w:r>
      </w:hyperlink>
      <w:r>
        <w:rPr>
          <w:rFonts w:ascii="Times New Roman" w:eastAsia="Times New Roman" w:hAnsi="Times New Roman" w:cs="Times New Roman"/>
          <w:sz w:val="24"/>
          <w:szCs w:val="24"/>
          <w:lang w:val="lv-LV" w:eastAsia="en-US"/>
        </w:rPr>
        <w:t xml:space="preserve"> </w:t>
      </w:r>
      <w:r>
        <w:rPr>
          <w:rFonts w:ascii="Times New Roman" w:eastAsia="Times New Roman" w:hAnsi="Times New Roman" w:cs="Times New Roman"/>
          <w:sz w:val="24"/>
          <w:szCs w:val="24"/>
          <w:lang w:val="en-GB" w:eastAsia="en-US"/>
        </w:rPr>
        <w:t>Accessed on April 22, 2021</w:t>
      </w:r>
      <w:r>
        <w:rPr>
          <w:rFonts w:ascii="Times New Roman" w:eastAsia="Times New Roman" w:hAnsi="Times New Roman" w:cs="Times New Roman"/>
          <w:sz w:val="24"/>
          <w:szCs w:val="24"/>
          <w:lang w:val="lv-LV" w:eastAsia="en-US"/>
        </w:rPr>
        <w:t>.</w:t>
      </w:r>
    </w:p>
    <w:p w:rsidR="003540B4" w:rsidRDefault="008C0147">
      <w:pPr>
        <w:pStyle w:val="RGSLNormal"/>
        <w:numPr>
          <w:ilvl w:val="0"/>
          <w:numId w:val="11"/>
        </w:numPr>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lv-LV" w:eastAsia="en-US"/>
        </w:rPr>
        <w:t>Latvijas Republikas Uzņēmumu Reģistrs ( Enterprise Registry of the Republic of Latvia), Patieso Labuma Guvēju Skaidrojums ( Explanation of the True Beneficiaries) ( available in</w:t>
      </w:r>
      <w:r>
        <w:rPr>
          <w:rFonts w:ascii="Times New Roman" w:eastAsia="Times New Roman" w:hAnsi="Times New Roman" w:cs="Times New Roman"/>
          <w:sz w:val="24"/>
          <w:szCs w:val="24"/>
          <w:lang w:val="lv-LV" w:eastAsia="en-US"/>
        </w:rPr>
        <w:t xml:space="preserve"> Latvian), available on: </w:t>
      </w:r>
      <w:r>
        <w:rPr>
          <w:rFonts w:ascii="Times New Roman" w:eastAsia="Times New Roman" w:hAnsi="Times New Roman" w:cs="Times New Roman"/>
          <w:sz w:val="24"/>
          <w:szCs w:val="24"/>
          <w:lang w:eastAsia="en-US"/>
        </w:rPr>
        <w:t>https://www.ur.gov.lv/lv/patieso-labuma-guveju-skaidrojums/</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L</w:t>
      </w:r>
      <w:r>
        <w:rPr>
          <w:rFonts w:ascii="Times New Roman" w:eastAsia="Times New Roman" w:hAnsi="Times New Roman" w:cs="Times New Roman"/>
          <w:sz w:val="24"/>
          <w:szCs w:val="24"/>
          <w:lang w:val="en-GB" w:eastAsia="en-US"/>
        </w:rPr>
        <w:t xml:space="preserve">eonardo </w:t>
      </w:r>
      <w:r>
        <w:rPr>
          <w:rFonts w:ascii="Times New Roman" w:eastAsia="Times New Roman" w:hAnsi="Times New Roman" w:cs="Times New Roman"/>
          <w:sz w:val="24"/>
          <w:szCs w:val="24"/>
          <w:lang w:eastAsia="en-US"/>
        </w:rPr>
        <w:t>B</w:t>
      </w:r>
      <w:r>
        <w:rPr>
          <w:rFonts w:ascii="Times New Roman" w:eastAsia="Times New Roman" w:hAnsi="Times New Roman" w:cs="Times New Roman"/>
          <w:sz w:val="24"/>
          <w:szCs w:val="24"/>
          <w:lang w:val="en-GB" w:eastAsia="en-US"/>
        </w:rPr>
        <w:t>orlini and</w:t>
      </w:r>
      <w:r>
        <w:rPr>
          <w:rFonts w:ascii="Times New Roman" w:eastAsia="Times New Roman" w:hAnsi="Times New Roman" w:cs="Times New Roman"/>
          <w:sz w:val="24"/>
          <w:szCs w:val="24"/>
          <w:lang w:eastAsia="en-US"/>
        </w:rPr>
        <w:t xml:space="preserve"> F</w:t>
      </w:r>
      <w:r>
        <w:rPr>
          <w:rFonts w:ascii="Times New Roman" w:eastAsia="Times New Roman" w:hAnsi="Times New Roman" w:cs="Times New Roman"/>
          <w:sz w:val="24"/>
          <w:szCs w:val="24"/>
          <w:lang w:val="en-GB" w:eastAsia="en-US"/>
        </w:rPr>
        <w:t xml:space="preserve">rancesco </w:t>
      </w:r>
      <w:r>
        <w:rPr>
          <w:rFonts w:ascii="Times New Roman" w:eastAsia="Times New Roman" w:hAnsi="Times New Roman" w:cs="Times New Roman"/>
          <w:sz w:val="24"/>
          <w:szCs w:val="24"/>
          <w:lang w:eastAsia="en-US"/>
        </w:rPr>
        <w:t>M</w:t>
      </w:r>
      <w:r>
        <w:rPr>
          <w:rFonts w:ascii="Times New Roman" w:eastAsia="Times New Roman" w:hAnsi="Times New Roman" w:cs="Times New Roman"/>
          <w:sz w:val="24"/>
          <w:szCs w:val="24"/>
          <w:lang w:val="en-GB" w:eastAsia="en-US"/>
        </w:rPr>
        <w:t xml:space="preserve">ontanaro, </w:t>
      </w:r>
      <w:r>
        <w:rPr>
          <w:rFonts w:ascii="Times New Roman" w:eastAsia="Times New Roman" w:hAnsi="Times New Roman" w:cs="Times New Roman"/>
          <w:sz w:val="24"/>
          <w:szCs w:val="24"/>
          <w:lang w:eastAsia="en-US"/>
        </w:rPr>
        <w:t>T</w:t>
      </w:r>
      <w:r>
        <w:rPr>
          <w:rFonts w:ascii="Times New Roman" w:eastAsia="Times New Roman" w:hAnsi="Times New Roman" w:cs="Times New Roman"/>
          <w:sz w:val="24"/>
          <w:szCs w:val="24"/>
          <w:lang w:val="en-GB" w:eastAsia="en-US"/>
        </w:rPr>
        <w:t xml:space="preserve">he Evolution of the EU Law Against Criminal Finance: The “Hardening” of FATF Standards within the EU, p.19, available on: </w:t>
      </w:r>
      <w:r>
        <w:rPr>
          <w:rFonts w:ascii="Times New Roman" w:eastAsia="Times New Roman" w:hAnsi="Times New Roman" w:cs="Times New Roman"/>
          <w:sz w:val="24"/>
          <w:szCs w:val="24"/>
          <w:lang w:eastAsia="en-US"/>
        </w:rPr>
        <w:t>https://poseidon01.ssrn.com/delivery.php?ID=65600408411500003106412700802200007102300807701706200509602307709611709610600107000002405601601205611206206711207510412100209710508306404205500402008006402411908700301002100009302112712608600206707211502803108507</w:t>
      </w:r>
      <w:r>
        <w:rPr>
          <w:rFonts w:ascii="Times New Roman" w:eastAsia="Times New Roman" w:hAnsi="Times New Roman" w:cs="Times New Roman"/>
          <w:sz w:val="24"/>
          <w:szCs w:val="24"/>
          <w:lang w:eastAsia="en-US"/>
        </w:rPr>
        <w:t>1031028017087006105076109016097117083074&amp;EXT=pdf&amp;INDEX=TRUE</w:t>
      </w:r>
      <w:r>
        <w:rPr>
          <w:rFonts w:ascii="Times New Roman" w:eastAsia="Times New Roman" w:hAnsi="Times New Roman" w:cs="Times New Roman"/>
          <w:sz w:val="24"/>
          <w:szCs w:val="24"/>
          <w:lang w:val="en-GB" w:eastAsia="en-US"/>
        </w:rPr>
        <w:t xml:space="preserve">. Accessed March 23, 2021. </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en-GB" w:eastAsia="en-US"/>
        </w:rPr>
        <w:t xml:space="preserve">Library of Congress. Global Legal Monitoring. European Union: 5th Anti-Money Laundering Directive Enters into Force by Jenny Gesley. July 16, 2018. Available on: </w:t>
      </w:r>
      <w:hyperlink r:id="rId42" w:history="1">
        <w:r>
          <w:rPr>
            <w:rFonts w:ascii="Times New Roman" w:eastAsia="Times New Roman" w:hAnsi="Times New Roman" w:cs="Times New Roman"/>
            <w:sz w:val="24"/>
            <w:szCs w:val="24"/>
            <w:lang w:eastAsia="en-US"/>
          </w:rPr>
          <w:t>https://www.loc.gov/law/foreign-news/article/european-union-5th-anti-money-laundering-directive-enters-into-force/</w:t>
        </w:r>
        <w:r>
          <w:rPr>
            <w:rFonts w:ascii="Times New Roman" w:eastAsia="Times New Roman" w:hAnsi="Times New Roman" w:cs="Times New Roman"/>
            <w:sz w:val="24"/>
            <w:szCs w:val="24"/>
            <w:lang w:val="en-GB" w:eastAsia="en-US"/>
          </w:rPr>
          <w:t>.</w:t>
        </w:r>
      </w:hyperlink>
      <w:r>
        <w:rPr>
          <w:rFonts w:ascii="Times New Roman" w:eastAsia="Times New Roman" w:hAnsi="Times New Roman" w:cs="Times New Roman"/>
          <w:sz w:val="24"/>
          <w:szCs w:val="24"/>
          <w:lang w:val="en-GB" w:eastAsia="en-US"/>
        </w:rPr>
        <w:t xml:space="preserve"> Accessed March 30, 2021. </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Ondráčka </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 xml:space="preserve">David </w:t>
      </w:r>
      <w:r>
        <w:rPr>
          <w:rFonts w:ascii="Times New Roman" w:eastAsia="Times New Roman" w:hAnsi="Times New Roman" w:cs="Times New Roman"/>
          <w:sz w:val="24"/>
          <w:szCs w:val="24"/>
          <w:lang w:val="en-GB" w:eastAsia="en-US"/>
        </w:rPr>
        <w:t xml:space="preserve">and </w:t>
      </w:r>
      <w:r>
        <w:rPr>
          <w:rFonts w:ascii="Times New Roman" w:eastAsia="Times New Roman" w:hAnsi="Times New Roman" w:cs="Times New Roman"/>
          <w:sz w:val="24"/>
          <w:szCs w:val="24"/>
          <w:lang w:eastAsia="en-US"/>
        </w:rPr>
        <w:t>Vondráček</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 xml:space="preserve">Ondřej </w:t>
      </w:r>
      <w:r>
        <w:rPr>
          <w:rFonts w:ascii="Times New Roman" w:eastAsia="Times New Roman" w:hAnsi="Times New Roman" w:cs="Times New Roman"/>
          <w:sz w:val="24"/>
          <w:szCs w:val="24"/>
          <w:lang w:val="en-GB" w:eastAsia="en-US"/>
        </w:rPr>
        <w:t>,</w:t>
      </w:r>
      <w:r>
        <w:rPr>
          <w:rFonts w:ascii="Times New Roman" w:eastAsia="Times New Roman" w:hAnsi="Times New Roman" w:cs="Times New Roman"/>
          <w:sz w:val="24"/>
          <w:szCs w:val="24"/>
          <w:lang w:eastAsia="en-US"/>
        </w:rPr>
        <w:t xml:space="preserve"> European Law Review</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Ownership structures and beneficial ownership: registering</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and investigating the unknown</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2019</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eastAsia="en-US"/>
        </w:rPr>
        <w:t>2021 Sweet &amp; Maxwell and its Contributors</w:t>
      </w:r>
      <w:r>
        <w:rPr>
          <w:rFonts w:ascii="Times New Roman" w:eastAsia="Times New Roman" w:hAnsi="Times New Roman" w:cs="Times New Roman"/>
          <w:sz w:val="24"/>
          <w:szCs w:val="24"/>
          <w:lang w:val="en-GB" w:eastAsia="en-US"/>
        </w:rPr>
        <w:t xml:space="preserve"> Available on : </w:t>
      </w:r>
      <w:r>
        <w:rPr>
          <w:rFonts w:ascii="Times New Roman" w:eastAsia="Times New Roman" w:hAnsi="Times New Roman" w:cs="Times New Roman"/>
          <w:sz w:val="24"/>
          <w:szCs w:val="24"/>
          <w:lang w:eastAsia="en-US"/>
        </w:rPr>
        <w:t>https://1.nex</w:t>
      </w:r>
      <w:r>
        <w:rPr>
          <w:rFonts w:ascii="Times New Roman" w:eastAsia="Times New Roman" w:hAnsi="Times New Roman" w:cs="Times New Roman"/>
          <w:sz w:val="24"/>
          <w:szCs w:val="24"/>
          <w:lang w:eastAsia="en-US"/>
        </w:rPr>
        <w:t>t.westlaw.com/Document/IF02CA7A08E3511E99B808522AFECC67E/View/FullText.html?navigationPath=Search%2Fv1%2Fresults%2Fnavigation%2Fi0ad7403600000178a34f1835741705ac%3Fppcid%3D46e5438261b84eb58fb50ec3e8768263%26Nav%3DINTERNATIONAL-ANALYTICAL%26navQualifier%3DI</w:t>
      </w:r>
      <w:r>
        <w:rPr>
          <w:rFonts w:ascii="Times New Roman" w:eastAsia="Times New Roman" w:hAnsi="Times New Roman" w:cs="Times New Roman"/>
          <w:sz w:val="24"/>
          <w:szCs w:val="24"/>
          <w:lang w:eastAsia="en-US"/>
        </w:rPr>
        <w:t>0363b1e0a09611e28578f7ccc38dcbee%26listQualifier%3DI0363b1e0a09611e28578f7ccc38dcbee%26fragmentIdentifier%3DIF02CA7A08E3511E99B808522AFECC67E%26parentRank%3D0%26startIndex%3D1%26contextData%3D%2528sc.Search%2529%26transitionType%3DSearchItem&amp;listSource=Sea</w:t>
      </w:r>
      <w:r>
        <w:rPr>
          <w:rFonts w:ascii="Times New Roman" w:eastAsia="Times New Roman" w:hAnsi="Times New Roman" w:cs="Times New Roman"/>
          <w:sz w:val="24"/>
          <w:szCs w:val="24"/>
          <w:lang w:eastAsia="en-US"/>
        </w:rPr>
        <w:t>rch&amp;listPageSource=511a4a3a6b697d8dc21d06a85266a787&amp;list=INTERNATIONAL-ANALYTICAL&amp;rank=1&amp;sessionScopeId=95ee8fa540446a3a559415bfc5854de20c63b8712ab6a7e87e227aeba4a11501&amp;ppcid=46e5438261b84eb58fb50ec3e8768263&amp;originationContext=Search%20Result&amp;transitionTyp</w:t>
      </w:r>
      <w:r>
        <w:rPr>
          <w:rFonts w:ascii="Times New Roman" w:eastAsia="Times New Roman" w:hAnsi="Times New Roman" w:cs="Times New Roman"/>
          <w:sz w:val="24"/>
          <w:szCs w:val="24"/>
          <w:lang w:eastAsia="en-US"/>
        </w:rPr>
        <w:t>e=SearchItem&amp;contextData=%28sc.Search%29</w:t>
      </w:r>
      <w:r>
        <w:rPr>
          <w:rFonts w:ascii="Times New Roman" w:eastAsia="Times New Roman" w:hAnsi="Times New Roman" w:cs="Times New Roman"/>
          <w:sz w:val="24"/>
          <w:szCs w:val="24"/>
          <w:lang w:val="en-GB" w:eastAsia="en-US"/>
        </w:rPr>
        <w:t>. Accessed March 28, 2021.</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eastAsia="en-US"/>
        </w:rPr>
        <w:t xml:space="preserve"> </w:t>
      </w:r>
      <w:r>
        <w:rPr>
          <w:rFonts w:ascii="Times New Roman" w:eastAsia="Times New Roman" w:hAnsi="Times New Roman" w:cs="Times New Roman"/>
          <w:sz w:val="24"/>
          <w:szCs w:val="24"/>
          <w:lang w:val="lv-LV" w:eastAsia="en-US"/>
        </w:rPr>
        <w:t>Priede</w:t>
      </w:r>
      <w:r>
        <w:rPr>
          <w:rFonts w:ascii="Times New Roman" w:eastAsia="Times New Roman" w:hAnsi="Times New Roman" w:cs="Times New Roman"/>
          <w:sz w:val="24"/>
          <w:szCs w:val="24"/>
          <w:lang w:val="en-GB" w:eastAsia="en-US"/>
        </w:rPr>
        <w:t xml:space="preserve">, </w:t>
      </w:r>
      <w:r>
        <w:rPr>
          <w:rFonts w:ascii="Times New Roman" w:eastAsia="Times New Roman" w:hAnsi="Times New Roman" w:cs="Times New Roman"/>
          <w:sz w:val="24"/>
          <w:szCs w:val="24"/>
          <w:lang w:val="en-GB" w:eastAsia="en-US"/>
        </w:rPr>
        <w:t>Di</w:t>
      </w:r>
      <w:r>
        <w:rPr>
          <w:rFonts w:ascii="Times New Roman" w:eastAsia="Times New Roman" w:hAnsi="Times New Roman" w:cs="Times New Roman"/>
          <w:sz w:val="24"/>
          <w:szCs w:val="24"/>
          <w:lang w:val="lv-LV" w:eastAsia="en-US"/>
        </w:rPr>
        <w:t>āna ,</w:t>
      </w:r>
      <w:r>
        <w:rPr>
          <w:rFonts w:ascii="Times New Roman" w:eastAsia="Times New Roman" w:hAnsi="Times New Roman" w:cs="Times New Roman"/>
          <w:sz w:val="24"/>
          <w:szCs w:val="24"/>
          <w:lang w:val="en-GB" w:eastAsia="en-US"/>
        </w:rPr>
        <w:t xml:space="preserve">Research paper in Law and Business. </w:t>
      </w:r>
      <w:r>
        <w:rPr>
          <w:rFonts w:ascii="Times New Roman" w:eastAsia="Times New Roman" w:hAnsi="Times New Roman" w:cs="Times New Roman"/>
          <w:sz w:val="24"/>
          <w:szCs w:val="24"/>
          <w:lang w:val="en-GB" w:eastAsia="en-US"/>
        </w:rPr>
        <w:t xml:space="preserve">Subject of the Section 195 of the Criminal Law of Latvia and statistical review of criminal law proceeding on money laundering under the </w:t>
      </w:r>
      <w:r>
        <w:rPr>
          <w:rFonts w:ascii="Times New Roman" w:eastAsia="Times New Roman" w:hAnsi="Times New Roman" w:cs="Times New Roman"/>
          <w:sz w:val="24"/>
          <w:szCs w:val="24"/>
          <w:lang w:val="en-GB" w:eastAsia="en-US"/>
        </w:rPr>
        <w:t xml:space="preserve">section. </w:t>
      </w:r>
    </w:p>
    <w:p w:rsidR="003540B4" w:rsidRDefault="008C0147">
      <w:pPr>
        <w:pStyle w:val="RGSLNormal"/>
        <w:numPr>
          <w:ilvl w:val="0"/>
          <w:numId w:val="11"/>
        </w:numPr>
        <w:jc w:val="both"/>
        <w:rPr>
          <w:rFonts w:ascii="Times New Roman" w:eastAsia="Times New Roman" w:hAnsi="Times New Roman" w:cs="Times New Roman"/>
          <w:sz w:val="24"/>
          <w:szCs w:val="24"/>
          <w:lang w:val="en-GB" w:eastAsia="en-US"/>
        </w:rPr>
      </w:pPr>
      <w:r>
        <w:rPr>
          <w:rFonts w:ascii="Times New Roman" w:eastAsia="Times New Roman" w:hAnsi="Times New Roman" w:cs="Times New Roman"/>
          <w:sz w:val="24"/>
          <w:szCs w:val="24"/>
          <w:lang w:val="en-GB" w:eastAsia="en-US"/>
        </w:rPr>
        <w:t>Richards, James R.; Transnational Criminal Organizations, Cybercrime, and Money Laundering: A Handbook for Law Enforcement Officers, Auditors, and Financial Investigators. CRC Press, 1999.</w:t>
      </w:r>
    </w:p>
    <w:p w:rsidR="003540B4" w:rsidRDefault="008C0147">
      <w:pPr>
        <w:pStyle w:val="RGSLNormal"/>
        <w:numPr>
          <w:ilvl w:val="0"/>
          <w:numId w:val="11"/>
        </w:numPr>
        <w:jc w:val="both"/>
        <w:rPr>
          <w:rFonts w:cs="Times New Roman"/>
          <w:color w:val="000000" w:themeColor="text1"/>
        </w:rPr>
      </w:pPr>
      <w:r>
        <w:rPr>
          <w:rFonts w:ascii="Times New Roman" w:eastAsia="Times New Roman" w:hAnsi="Times New Roman" w:cs="Times New Roman"/>
          <w:color w:val="000000" w:themeColor="text1"/>
          <w:sz w:val="24"/>
          <w:szCs w:val="24"/>
          <w:lang w:val="en-GB" w:eastAsia="en-US"/>
        </w:rPr>
        <w:t>Unger, Brigitte and Daan van der Linde; Research Handbook</w:t>
      </w:r>
      <w:r>
        <w:rPr>
          <w:rFonts w:ascii="Times New Roman" w:eastAsia="Times New Roman" w:hAnsi="Times New Roman" w:cs="Times New Roman"/>
          <w:color w:val="000000" w:themeColor="text1"/>
          <w:sz w:val="24"/>
          <w:szCs w:val="24"/>
          <w:lang w:val="en-GB" w:eastAsia="en-US"/>
        </w:rPr>
        <w:t xml:space="preserve"> on Money laundering. Cheltenham, UK : Edward Elgar, 2013. </w:t>
      </w:r>
    </w:p>
    <w:p w:rsidR="003540B4" w:rsidRDefault="008C0147">
      <w:pPr>
        <w:pStyle w:val="RGSLNormal"/>
        <w:numPr>
          <w:ilvl w:val="0"/>
          <w:numId w:val="11"/>
        </w:numPr>
        <w:jc w:val="both"/>
        <w:rPr>
          <w:lang w:val="en-GB"/>
        </w:rPr>
      </w:pPr>
      <w:r>
        <w:rPr>
          <w:rFonts w:ascii="Times New Roman" w:eastAsia="Times New Roman" w:hAnsi="Times New Roman" w:cs="Times New Roman"/>
          <w:color w:val="000000" w:themeColor="text1"/>
          <w:sz w:val="24"/>
          <w:szCs w:val="24"/>
          <w:lang w:eastAsia="en-US"/>
        </w:rPr>
        <w:t xml:space="preserve"> van der Does de Willebois</w:t>
      </w:r>
      <w:r>
        <w:rPr>
          <w:rFonts w:ascii="Times New Roman" w:eastAsia="Times New Roman" w:hAnsi="Times New Roman" w:cs="Times New Roman"/>
          <w:color w:val="000000" w:themeColor="text1"/>
          <w:sz w:val="24"/>
          <w:szCs w:val="24"/>
          <w:lang w:val="en-GB" w:eastAsia="en-US"/>
        </w:rPr>
        <w:t xml:space="preserve">, </w:t>
      </w:r>
      <w:r>
        <w:rPr>
          <w:rFonts w:ascii="Times New Roman" w:eastAsia="Times New Roman" w:hAnsi="Times New Roman" w:cs="Times New Roman"/>
          <w:color w:val="000000" w:themeColor="text1"/>
          <w:sz w:val="24"/>
          <w:szCs w:val="24"/>
          <w:lang w:eastAsia="en-US"/>
        </w:rPr>
        <w:t xml:space="preserve">Emile </w:t>
      </w:r>
      <w:r>
        <w:rPr>
          <w:rFonts w:ascii="Times New Roman" w:eastAsia="Times New Roman" w:hAnsi="Times New Roman" w:cs="Times New Roman"/>
          <w:color w:val="000000" w:themeColor="text1"/>
          <w:sz w:val="24"/>
          <w:szCs w:val="24"/>
          <w:lang w:val="en-GB" w:eastAsia="en-US"/>
        </w:rPr>
        <w:t xml:space="preserve"> and </w:t>
      </w:r>
      <w:r>
        <w:rPr>
          <w:rFonts w:ascii="Times New Roman" w:eastAsia="Times New Roman" w:hAnsi="Times New Roman" w:cs="Times New Roman"/>
          <w:color w:val="000000" w:themeColor="text1"/>
          <w:sz w:val="24"/>
          <w:szCs w:val="24"/>
          <w:lang w:eastAsia="en-US"/>
        </w:rPr>
        <w:t>Sharman</w:t>
      </w:r>
      <w:r>
        <w:rPr>
          <w:rFonts w:ascii="Times New Roman" w:eastAsia="Times New Roman" w:hAnsi="Times New Roman" w:cs="Times New Roman"/>
          <w:color w:val="000000" w:themeColor="text1"/>
          <w:sz w:val="24"/>
          <w:szCs w:val="24"/>
          <w:lang w:val="en-GB" w:eastAsia="en-US"/>
        </w:rPr>
        <w:t>,</w:t>
      </w:r>
      <w:r>
        <w:rPr>
          <w:rFonts w:ascii="Times New Roman" w:eastAsia="Times New Roman" w:hAnsi="Times New Roman" w:cs="Times New Roman"/>
          <w:color w:val="000000" w:themeColor="text1"/>
          <w:sz w:val="24"/>
          <w:szCs w:val="24"/>
          <w:lang w:eastAsia="en-US"/>
        </w:rPr>
        <w:t xml:space="preserve"> J.C. </w:t>
      </w:r>
      <w:r>
        <w:rPr>
          <w:rFonts w:ascii="Times New Roman" w:eastAsia="Times New Roman" w:hAnsi="Times New Roman" w:cs="Times New Roman"/>
          <w:color w:val="000000" w:themeColor="text1"/>
          <w:sz w:val="24"/>
          <w:szCs w:val="24"/>
          <w:lang w:val="en-GB" w:eastAsia="en-US"/>
        </w:rPr>
        <w:t>and</w:t>
      </w:r>
      <w:r>
        <w:rPr>
          <w:rFonts w:ascii="Times New Roman" w:eastAsia="Times New Roman" w:hAnsi="Times New Roman" w:cs="Times New Roman"/>
          <w:color w:val="000000" w:themeColor="text1"/>
          <w:sz w:val="24"/>
          <w:szCs w:val="24"/>
          <w:lang w:eastAsia="en-US"/>
        </w:rPr>
        <w:t xml:space="preserve"> Harrison,</w:t>
      </w:r>
      <w:r>
        <w:rPr>
          <w:rFonts w:ascii="Times New Roman" w:eastAsia="Times New Roman" w:hAnsi="Times New Roman" w:cs="Times New Roman"/>
          <w:color w:val="000000" w:themeColor="text1"/>
          <w:sz w:val="24"/>
          <w:szCs w:val="24"/>
          <w:lang w:val="en-GB" w:eastAsia="en-US"/>
        </w:rPr>
        <w:t xml:space="preserve"> </w:t>
      </w:r>
      <w:r>
        <w:rPr>
          <w:rFonts w:ascii="Times New Roman" w:eastAsia="Times New Roman" w:hAnsi="Times New Roman" w:cs="Times New Roman"/>
          <w:color w:val="000000" w:themeColor="text1"/>
          <w:sz w:val="24"/>
          <w:szCs w:val="24"/>
          <w:lang w:eastAsia="en-US"/>
        </w:rPr>
        <w:t xml:space="preserve">Robert </w:t>
      </w:r>
      <w:r>
        <w:rPr>
          <w:rFonts w:ascii="Times New Roman" w:eastAsia="Times New Roman" w:hAnsi="Times New Roman" w:cs="Times New Roman"/>
          <w:color w:val="000000" w:themeColor="text1"/>
          <w:sz w:val="24"/>
          <w:szCs w:val="24"/>
          <w:lang w:val="en-GB" w:eastAsia="en-US"/>
        </w:rPr>
        <w:t xml:space="preserve">and </w:t>
      </w:r>
      <w:r>
        <w:rPr>
          <w:rFonts w:ascii="Times New Roman" w:eastAsia="Times New Roman" w:hAnsi="Times New Roman" w:cs="Times New Roman"/>
          <w:color w:val="000000" w:themeColor="text1"/>
          <w:sz w:val="24"/>
          <w:szCs w:val="24"/>
          <w:lang w:eastAsia="en-US"/>
        </w:rPr>
        <w:t>Park,Ji Won</w:t>
      </w:r>
      <w:r>
        <w:rPr>
          <w:rFonts w:ascii="Times New Roman" w:eastAsia="Times New Roman" w:hAnsi="Times New Roman" w:cs="Times New Roman"/>
          <w:color w:val="000000" w:themeColor="text1"/>
          <w:sz w:val="24"/>
          <w:szCs w:val="24"/>
          <w:lang w:val="en-GB" w:eastAsia="en-US"/>
        </w:rPr>
        <w:t xml:space="preserve"> and </w:t>
      </w:r>
      <w:r>
        <w:rPr>
          <w:rFonts w:ascii="Times New Roman" w:eastAsia="Times New Roman" w:hAnsi="Times New Roman" w:cs="Times New Roman"/>
          <w:color w:val="000000" w:themeColor="text1"/>
          <w:sz w:val="24"/>
          <w:szCs w:val="24"/>
          <w:lang w:eastAsia="en-US"/>
        </w:rPr>
        <w:t>Halter, Emily and World Bank</w:t>
      </w:r>
      <w:r>
        <w:rPr>
          <w:rFonts w:ascii="Times New Roman" w:eastAsia="Times New Roman" w:hAnsi="Times New Roman" w:cs="Times New Roman"/>
          <w:color w:val="000000" w:themeColor="text1"/>
          <w:sz w:val="24"/>
          <w:szCs w:val="24"/>
          <w:lang w:val="en-GB" w:eastAsia="en-US"/>
        </w:rPr>
        <w:t xml:space="preserve">. Puppet Masters : How the Corrupt Use Legal Structures to Hide Stolen Assets and What to Do About It ( World Bank Publications, 2011-01-01) ,p. 33,  accessed March 20, 2021, </w:t>
      </w:r>
      <w:hyperlink r:id="rId43" w:history="1">
        <w:r>
          <w:rPr>
            <w:rFonts w:ascii="Times New Roman" w:eastAsia="Times New Roman" w:hAnsi="Times New Roman" w:cs="Times New Roman"/>
            <w:color w:val="000000" w:themeColor="text1"/>
            <w:sz w:val="24"/>
            <w:szCs w:val="24"/>
            <w:lang w:eastAsia="en-US"/>
          </w:rPr>
          <w:t>https://ebookcentral.proquest.com/lib/lulv/reader.action?docID=799756&amp;ppg=33</w:t>
        </w:r>
      </w:hyperlink>
    </w:p>
    <w:p w:rsidR="003540B4" w:rsidRDefault="003540B4">
      <w:pPr>
        <w:pStyle w:val="RGSLBodywithoutindentation"/>
        <w:rPr>
          <w:rFonts w:cs="Times New Roman"/>
          <w:color w:val="FF0000"/>
          <w:lang w:val="lv-LV"/>
        </w:rPr>
      </w:pPr>
    </w:p>
    <w:p w:rsidR="003540B4" w:rsidRDefault="003540B4">
      <w:pPr>
        <w:pStyle w:val="RGSLBodywithoutindentation"/>
        <w:rPr>
          <w:rFonts w:cs="Times New Roman"/>
          <w:color w:val="FF0000"/>
          <w:lang w:val="en-GB" w:eastAsia="zh-CN"/>
        </w:rPr>
      </w:pPr>
    </w:p>
    <w:sectPr w:rsidR="003540B4">
      <w:footerReference w:type="default" r:id="rId44"/>
      <w:pgSz w:w="11906" w:h="16838"/>
      <w:pgMar w:top="1134" w:right="1134" w:bottom="1134" w:left="1701" w:header="709" w:footer="709" w:gutter="0"/>
      <w:pgNumType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40B4" w:rsidRDefault="003540B4"/>
  </w:endnote>
  <w:endnote w:type="continuationSeparator" w:id="0">
    <w:p w:rsidR="003540B4" w:rsidRDefault="008C0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Verdana">
    <w:panose1 w:val="020B0604030504040204"/>
    <w:charset w:val="BA"/>
    <w:family w:val="swiss"/>
    <w:pitch w:val="variable"/>
    <w:sig w:usb0="A10006FF" w:usb1="4000205B" w:usb2="0000001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0B4" w:rsidRDefault="008C0147">
    <w:pPr>
      <w:pStyle w:val="Footer"/>
    </w:pPr>
    <w:r>
      <w:rPr>
        <w:noProof/>
        <w:lang w:val="lv-LV" w:eastAsia="lv-LV"/>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540B4" w:rsidRDefault="008C0147">
                          <w:pPr>
                            <w:pStyle w:val="Footer"/>
                            <w:rPr>
                              <w:lang w:val="en-GB"/>
                            </w:rPr>
                          </w:pPr>
                          <w:r>
                            <w:rPr>
                              <w:lang w:val="en-GB"/>
                            </w:rPr>
                            <w:fldChar w:fldCharType="begin"/>
                          </w:r>
                          <w:r>
                            <w:rPr>
                              <w:lang w:val="en-GB"/>
                            </w:rPr>
                            <w:instrText xml:space="preserve"> PAGE  \* MERGEFORMAT </w:instrText>
                          </w:r>
                          <w:r>
                            <w:rPr>
                              <w:lang w:val="en-GB"/>
                            </w:rPr>
                            <w:fldChar w:fldCharType="separate"/>
                          </w:r>
                          <w:r>
                            <w:rPr>
                              <w:noProof/>
                              <w:lang w:val="en-GB"/>
                            </w:rPr>
                            <w:t>42</w:t>
                          </w:r>
                          <w:r>
                            <w:rPr>
                              <w:lang w:val="en-GB"/>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CHD&#10;kkFSAgAACQUAAA4AAAAAAAAAAAAAAAAALgIAAGRycy9lMm9Eb2MueG1sUEsBAi0AFAAGAAgAAAAh&#10;AHGq0bnXAAAABQEAAA8AAAAAAAAAAAAAAAAArAQAAGRycy9kb3ducmV2LnhtbFBLBQYAAAAABAAE&#10;APMAAACwBQAAAAA=&#10;" filled="f" stroked="f" strokeweight=".5pt">
              <v:textbox style="mso-fit-shape-to-text:t" inset="0,0,0,0">
                <w:txbxContent>
                  <w:p w:rsidR="003540B4" w:rsidRDefault="008C0147">
                    <w:pPr>
                      <w:pStyle w:val="Footer"/>
                      <w:rPr>
                        <w:lang w:val="en-GB"/>
                      </w:rPr>
                    </w:pPr>
                    <w:r>
                      <w:rPr>
                        <w:lang w:val="en-GB"/>
                      </w:rPr>
                      <w:fldChar w:fldCharType="begin"/>
                    </w:r>
                    <w:r>
                      <w:rPr>
                        <w:lang w:val="en-GB"/>
                      </w:rPr>
                      <w:instrText xml:space="preserve"> PAGE  \* MERGEFORMAT </w:instrText>
                    </w:r>
                    <w:r>
                      <w:rPr>
                        <w:lang w:val="en-GB"/>
                      </w:rPr>
                      <w:fldChar w:fldCharType="separate"/>
                    </w:r>
                    <w:r>
                      <w:rPr>
                        <w:noProof/>
                        <w:lang w:val="en-GB"/>
                      </w:rPr>
                      <w:t>42</w:t>
                    </w:r>
                    <w:r>
                      <w:rPr>
                        <w:lang w:val="en-GB"/>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40B4" w:rsidRDefault="003540B4"/>
  </w:footnote>
  <w:footnote w:type="continuationSeparator" w:id="0">
    <w:p w:rsidR="003540B4" w:rsidRDefault="008C0147">
      <w:r>
        <w:continuationSeparator/>
      </w:r>
    </w:p>
  </w:footnote>
  <w:footnote w:id="1">
    <w:p w:rsidR="003540B4" w:rsidRDefault="008C0147">
      <w:pPr>
        <w:pStyle w:val="RGSLFootnotes"/>
        <w:rPr>
          <w:rStyle w:val="FootnoteReference"/>
          <w:szCs w:val="20"/>
          <w:lang w:val="en-GB"/>
        </w:rPr>
      </w:pPr>
      <w:r>
        <w:rPr>
          <w:rStyle w:val="FootnoteReference"/>
          <w:szCs w:val="20"/>
        </w:rPr>
        <w:footnoteRef/>
      </w:r>
      <w:r>
        <w:rPr>
          <w:rStyle w:val="FootnoteReference"/>
          <w:szCs w:val="20"/>
          <w:lang w:val="en-GB"/>
        </w:rPr>
        <w:t xml:space="preserve"> European Comission, “Capital Movements. Overview,” available at: </w:t>
      </w:r>
      <w:hyperlink r:id="rId1" w:history="1">
        <w:r>
          <w:rPr>
            <w:rStyle w:val="FootnoteReference"/>
            <w:szCs w:val="20"/>
            <w:lang w:val="en-GB"/>
          </w:rPr>
          <w:t>https://ec.europa.eu/info/business-economy-euro/banking-and-finance/f</w:t>
        </w:r>
        <w:r>
          <w:rPr>
            <w:rStyle w:val="FootnoteReference"/>
            <w:szCs w:val="20"/>
            <w:lang w:val="en-GB"/>
          </w:rPr>
          <w:t>inancial-markets/capital-movements_en.</w:t>
        </w:r>
      </w:hyperlink>
      <w:r>
        <w:rPr>
          <w:rStyle w:val="FootnoteReference"/>
          <w:szCs w:val="20"/>
          <w:lang w:val="en-GB"/>
        </w:rPr>
        <w:t xml:space="preserve"> Accesed on November 7, 2020.</w:t>
      </w:r>
    </w:p>
  </w:footnote>
  <w:footnote w:id="2">
    <w:p w:rsidR="003540B4" w:rsidRDefault="008C0147">
      <w:pPr>
        <w:pStyle w:val="RGSLFootnotes"/>
        <w:rPr>
          <w:rStyle w:val="FootnoteReference"/>
          <w:szCs w:val="20"/>
          <w:lang w:val="en-GB"/>
        </w:rPr>
      </w:pPr>
      <w:r>
        <w:rPr>
          <w:rStyle w:val="FootnoteReference"/>
          <w:szCs w:val="20"/>
        </w:rPr>
        <w:footnoteRef/>
      </w:r>
      <w:r>
        <w:rPr>
          <w:rStyle w:val="FootnoteReference"/>
          <w:szCs w:val="20"/>
          <w:lang w:val="en-GB"/>
        </w:rPr>
        <w:t xml:space="preserve"> European Union, “Trade”, available at: </w:t>
      </w:r>
      <w:hyperlink r:id="rId2" w:history="1">
        <w:r>
          <w:rPr>
            <w:rStyle w:val="FootnoteReference"/>
            <w:szCs w:val="20"/>
            <w:lang w:val="en-GB"/>
          </w:rPr>
          <w:t>https://europa.eu/european-union/topics/trade_en</w:t>
        </w:r>
      </w:hyperlink>
      <w:r>
        <w:rPr>
          <w:rStyle w:val="FootnoteReference"/>
          <w:szCs w:val="20"/>
          <w:lang w:val="en-GB"/>
        </w:rPr>
        <w:t>. Accesed on November 7, 2020.</w:t>
      </w:r>
    </w:p>
  </w:footnote>
  <w:footnote w:id="3">
    <w:p w:rsidR="003540B4" w:rsidRDefault="008C0147">
      <w:pPr>
        <w:pStyle w:val="FootnoteText"/>
        <w:rPr>
          <w:lang w:val="en-GB"/>
        </w:rPr>
      </w:pPr>
      <w:r>
        <w:rPr>
          <w:rStyle w:val="FootnoteReference"/>
        </w:rPr>
        <w:footnoteRef/>
      </w:r>
      <w:r>
        <w:rPr>
          <w:rStyle w:val="FootnoteReference"/>
          <w:rFonts w:ascii="Times New Roman" w:eastAsiaTheme="majorEastAsia" w:hAnsi="Times New Roman" w:cs="Tahoma"/>
          <w:color w:val="000000" w:themeColor="text1"/>
          <w:sz w:val="21"/>
          <w:szCs w:val="20"/>
          <w:lang w:val="en-GB" w:eastAsia="ru-RU"/>
        </w:rPr>
        <w:t xml:space="preserve"> </w:t>
      </w:r>
      <w:r>
        <w:rPr>
          <w:rStyle w:val="FootnoteReference"/>
          <w:rFonts w:ascii="Times New Roman" w:eastAsiaTheme="majorEastAsia" w:hAnsi="Times New Roman" w:cs="Tahoma"/>
          <w:color w:val="000000" w:themeColor="text1"/>
          <w:sz w:val="21"/>
          <w:szCs w:val="20"/>
          <w:lang w:val="en-GB" w:eastAsia="ru-RU"/>
        </w:rPr>
        <w:t>Directive ( EU) 2019/882 of The European Parliament and of the Council of 17</w:t>
      </w:r>
      <w:r>
        <w:rPr>
          <w:rFonts w:ascii="Times New Roman" w:eastAsiaTheme="majorEastAsia" w:hAnsi="Times New Roman" w:cs="Tahoma"/>
          <w:color w:val="000000" w:themeColor="text1"/>
          <w:sz w:val="21"/>
          <w:szCs w:val="20"/>
          <w:lang w:val="en-GB" w:eastAsia="ru-RU"/>
        </w:rPr>
        <w:t xml:space="preserve"> </w:t>
      </w:r>
      <w:r>
        <w:rPr>
          <w:rStyle w:val="FootnoteReference"/>
          <w:rFonts w:ascii="Times New Roman" w:eastAsiaTheme="majorEastAsia" w:hAnsi="Times New Roman" w:cs="Tahoma"/>
          <w:color w:val="000000" w:themeColor="text1"/>
          <w:sz w:val="21"/>
          <w:szCs w:val="20"/>
          <w:lang w:val="en-GB" w:eastAsia="ru-RU"/>
        </w:rPr>
        <w:t xml:space="preserve">April 2019 on the accessibility requirements for products and services. Text with EEA relevance. Available on: </w:t>
      </w:r>
      <w:hyperlink r:id="rId3" w:history="1">
        <w:r>
          <w:rPr>
            <w:rStyle w:val="FootnoteReference"/>
            <w:rFonts w:ascii="Times New Roman" w:eastAsiaTheme="majorEastAsia" w:hAnsi="Times New Roman" w:cs="Tahoma"/>
            <w:color w:val="000000" w:themeColor="text1"/>
            <w:sz w:val="21"/>
            <w:szCs w:val="20"/>
            <w:lang w:val="en-GB" w:eastAsia="ru-RU"/>
          </w:rPr>
          <w:t>https://eur-lex.europa.eu/legal-content/EN/TXT/?uri=CELEX%3A32019L0882.</w:t>
        </w:r>
      </w:hyperlink>
      <w:r>
        <w:rPr>
          <w:rStyle w:val="FootnoteReference"/>
          <w:rFonts w:ascii="Times New Roman" w:eastAsiaTheme="majorEastAsia" w:hAnsi="Times New Roman" w:cs="Tahoma"/>
          <w:color w:val="000000" w:themeColor="text1"/>
          <w:sz w:val="21"/>
          <w:szCs w:val="20"/>
          <w:lang w:val="en-GB" w:eastAsia="ru-RU"/>
        </w:rPr>
        <w:t xml:space="preserve"> Accessed March 5, 2021.</w:t>
      </w:r>
    </w:p>
  </w:footnote>
  <w:footnote w:id="4">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 European Commission. Anti-money laundering and counter terrorist financing, available on: </w:t>
      </w:r>
      <w:hyperlink r:id="rId4" w:history="1">
        <w:r>
          <w:rPr>
            <w:rStyle w:val="FootnoteReference"/>
            <w:szCs w:val="20"/>
            <w:lang w:val="en-GB"/>
          </w:rPr>
          <w:t>https://ec.europa.eu/info/business-economy-euro/banking-and-finance/financial-supervision-and-risk-management/anti-money-laundering-and-counter-terrorist-financing_en.</w:t>
        </w:r>
      </w:hyperlink>
      <w:r>
        <w:rPr>
          <w:rStyle w:val="FootnoteReference"/>
          <w:szCs w:val="20"/>
          <w:lang w:val="en-GB"/>
        </w:rPr>
        <w:t xml:space="preserve"> Accessed March 9, 2021</w:t>
      </w:r>
    </w:p>
  </w:footnote>
  <w:footnote w:id="5">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Neil Boister, An Introduction to Transnation</w:t>
      </w:r>
      <w:r>
        <w:rPr>
          <w:rStyle w:val="FootnoteReference"/>
          <w:szCs w:val="20"/>
          <w:lang w:val="en-GB"/>
        </w:rPr>
        <w:t>al Criminal Law ( Oxford University Press, 2018), p.168</w:t>
      </w:r>
    </w:p>
  </w:footnote>
  <w:footnote w:id="6">
    <w:p w:rsidR="003540B4" w:rsidRDefault="008C0147">
      <w:pPr>
        <w:pStyle w:val="RGSLFootnotes"/>
      </w:pPr>
      <w:r>
        <w:rPr>
          <w:rStyle w:val="FootnoteReference"/>
        </w:rPr>
        <w:footnoteRef/>
      </w:r>
      <w:r>
        <w:t xml:space="preserve"> </w:t>
      </w:r>
      <w:r>
        <w:rPr>
          <w:rStyle w:val="FootnoteReference"/>
          <w:szCs w:val="20"/>
          <w:lang w:val="en-GB"/>
        </w:rPr>
        <w:t>Research Handbook on Money Laundering by Brigitte Unger, Daan van der Linde,</w:t>
      </w:r>
      <w:r>
        <w:rPr>
          <w:rStyle w:val="FootnoteReference"/>
          <w:szCs w:val="20"/>
        </w:rPr>
        <w:t xml:space="preserve"> (Cheltenham, UK : Edward Elgar, 2013)</w:t>
      </w:r>
      <w:r>
        <w:rPr>
          <w:szCs w:val="20"/>
          <w:lang w:val="en-GB"/>
        </w:rPr>
        <w:t>,</w:t>
      </w:r>
      <w:r>
        <w:rPr>
          <w:rStyle w:val="FootnoteReference"/>
          <w:szCs w:val="20"/>
          <w:lang w:val="en-GB"/>
        </w:rPr>
        <w:t xml:space="preserve"> page 3</w:t>
      </w:r>
    </w:p>
  </w:footnote>
  <w:footnote w:id="7">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Daan van der Linde, </w:t>
      </w:r>
      <w:r>
        <w:rPr>
          <w:rStyle w:val="FootnoteReference"/>
          <w:i/>
          <w:iCs/>
          <w:szCs w:val="20"/>
          <w:lang w:val="en-GB"/>
        </w:rPr>
        <w:t xml:space="preserve">supra </w:t>
      </w:r>
      <w:r>
        <w:rPr>
          <w:rStyle w:val="FootnoteReference"/>
          <w:szCs w:val="20"/>
          <w:lang w:val="en-GB"/>
        </w:rPr>
        <w:t>note 5</w:t>
      </w:r>
    </w:p>
  </w:footnote>
  <w:footnote w:id="8">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Daan van der Linde, </w:t>
      </w:r>
      <w:r>
        <w:rPr>
          <w:rStyle w:val="FootnoteReference"/>
          <w:i/>
          <w:iCs/>
          <w:szCs w:val="20"/>
          <w:lang w:val="en-GB"/>
        </w:rPr>
        <w:t xml:space="preserve">supra </w:t>
      </w:r>
      <w:r>
        <w:rPr>
          <w:rStyle w:val="FootnoteReference"/>
          <w:szCs w:val="20"/>
          <w:lang w:val="en-GB"/>
        </w:rPr>
        <w:t>note 5</w:t>
      </w:r>
    </w:p>
  </w:footnote>
  <w:footnote w:id="9">
    <w:p w:rsidR="003540B4" w:rsidRDefault="008C0147">
      <w:pPr>
        <w:pStyle w:val="FootnoteText"/>
      </w:pPr>
      <w:r>
        <w:rPr>
          <w:rStyle w:val="FootnoteReference"/>
        </w:rPr>
        <w:footnoteRef/>
      </w:r>
      <w:r>
        <w:t xml:space="preserve"> </w:t>
      </w:r>
      <w:r>
        <w:rPr>
          <w:rStyle w:val="FootnoteReference"/>
          <w:rFonts w:ascii="Times New Roman" w:hAnsi="Times New Roman" w:cs="Tahoma"/>
          <w:sz w:val="20"/>
          <w:szCs w:val="20"/>
          <w:lang w:val="en-GB"/>
        </w:rPr>
        <w:t xml:space="preserve">Daan van der Linde, </w:t>
      </w:r>
      <w:r>
        <w:rPr>
          <w:rStyle w:val="FootnoteReference"/>
          <w:rFonts w:ascii="Times New Roman" w:hAnsi="Times New Roman" w:cs="Tahoma"/>
          <w:i/>
          <w:iCs/>
          <w:sz w:val="20"/>
          <w:szCs w:val="20"/>
          <w:lang w:val="en-GB"/>
        </w:rPr>
        <w:t xml:space="preserve">supra </w:t>
      </w:r>
      <w:r>
        <w:rPr>
          <w:rStyle w:val="FootnoteReference"/>
          <w:rFonts w:ascii="Times New Roman" w:hAnsi="Times New Roman" w:cs="Tahoma"/>
          <w:sz w:val="20"/>
          <w:szCs w:val="20"/>
          <w:lang w:val="en-GB"/>
        </w:rPr>
        <w:t>note 5</w:t>
      </w:r>
    </w:p>
  </w:footnote>
  <w:footnote w:id="10">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Anti- Money Laundering Forum. Europe, available on: </w:t>
      </w:r>
      <w:hyperlink r:id="rId5" w:history="1">
        <w:r>
          <w:rPr>
            <w:rStyle w:val="FootnoteReference"/>
            <w:szCs w:val="20"/>
          </w:rPr>
          <w:t>https://www.anti-moneylaundering.org/Europe.aspx</w:t>
        </w:r>
      </w:hyperlink>
      <w:r>
        <w:rPr>
          <w:rStyle w:val="FootnoteReference"/>
          <w:szCs w:val="20"/>
          <w:lang w:val="en-GB"/>
        </w:rPr>
        <w:t>. A</w:t>
      </w:r>
      <w:r>
        <w:rPr>
          <w:rStyle w:val="FootnoteReference"/>
          <w:szCs w:val="20"/>
          <w:lang w:val="lv-LV"/>
        </w:rPr>
        <w:t xml:space="preserve">ccessed </w:t>
      </w:r>
      <w:r>
        <w:rPr>
          <w:rStyle w:val="FootnoteReference"/>
          <w:szCs w:val="20"/>
          <w:lang w:val="en-GB"/>
        </w:rPr>
        <w:t xml:space="preserve">on March 9, 2021. </w:t>
      </w:r>
    </w:p>
  </w:footnote>
  <w:footnote w:id="11">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C</w:t>
      </w:r>
      <w:r>
        <w:rPr>
          <w:rStyle w:val="FootnoteReference"/>
          <w:szCs w:val="20"/>
          <w:lang w:val="en-GB"/>
        </w:rPr>
        <w:t>onvention</w:t>
      </w:r>
      <w:r>
        <w:rPr>
          <w:rStyle w:val="FootnoteReference"/>
          <w:szCs w:val="20"/>
        </w:rPr>
        <w:t xml:space="preserve"> A</w:t>
      </w:r>
      <w:r>
        <w:rPr>
          <w:rStyle w:val="FootnoteReference"/>
          <w:szCs w:val="20"/>
          <w:lang w:val="en-GB"/>
        </w:rPr>
        <w:t>gainst Illi</w:t>
      </w:r>
      <w:r>
        <w:rPr>
          <w:rStyle w:val="FootnoteReference"/>
          <w:szCs w:val="20"/>
          <w:lang w:val="en-GB"/>
        </w:rPr>
        <w:t>cit</w:t>
      </w:r>
      <w:r>
        <w:rPr>
          <w:rStyle w:val="FootnoteReference"/>
          <w:szCs w:val="20"/>
        </w:rPr>
        <w:t xml:space="preserve"> T</w:t>
      </w:r>
      <w:r>
        <w:rPr>
          <w:rStyle w:val="FootnoteReference"/>
          <w:szCs w:val="20"/>
          <w:lang w:val="en-GB"/>
        </w:rPr>
        <w:t>raffic</w:t>
      </w:r>
      <w:r>
        <w:rPr>
          <w:rStyle w:val="FootnoteReference"/>
          <w:szCs w:val="20"/>
        </w:rPr>
        <w:t xml:space="preserve"> I</w:t>
      </w:r>
      <w:r>
        <w:rPr>
          <w:rStyle w:val="FootnoteReference"/>
          <w:szCs w:val="20"/>
          <w:lang w:val="en-GB"/>
        </w:rPr>
        <w:t>n</w:t>
      </w:r>
      <w:r>
        <w:rPr>
          <w:rStyle w:val="FootnoteReference"/>
          <w:szCs w:val="20"/>
        </w:rPr>
        <w:t xml:space="preserve"> </w:t>
      </w:r>
      <w:r>
        <w:rPr>
          <w:rStyle w:val="FootnoteReference"/>
          <w:szCs w:val="20"/>
          <w:lang w:val="en-GB"/>
        </w:rPr>
        <w:t xml:space="preserve">Narcotic Drugs and Psychotropic Substances of the United Nations ( 1988). Available on: </w:t>
      </w:r>
      <w:hyperlink r:id="rId6" w:history="1">
        <w:r>
          <w:rPr>
            <w:rStyle w:val="FootnoteReference"/>
            <w:szCs w:val="20"/>
          </w:rPr>
          <w:t>https://www.unodc.org/pdf/convention_1988_en.pdf</w:t>
        </w:r>
      </w:hyperlink>
      <w:r>
        <w:rPr>
          <w:rStyle w:val="FootnoteReference"/>
          <w:szCs w:val="20"/>
          <w:lang w:val="en-GB"/>
        </w:rPr>
        <w:t xml:space="preserve">. Accessed March 3, 2021. </w:t>
      </w:r>
    </w:p>
  </w:footnote>
  <w:footnote w:id="12">
    <w:p w:rsidR="003540B4" w:rsidRDefault="008C0147">
      <w:pPr>
        <w:pStyle w:val="FootnoteText"/>
      </w:pPr>
      <w:r>
        <w:rPr>
          <w:rStyle w:val="FootnoteReference"/>
        </w:rPr>
        <w:footnoteRef/>
      </w:r>
      <w:r>
        <w:rPr>
          <w:rStyle w:val="FootnoteReference"/>
          <w:rFonts w:ascii="Times New Roman" w:eastAsiaTheme="majorEastAsia" w:hAnsi="Times New Roman" w:cs="Tahoma"/>
          <w:color w:val="000000" w:themeColor="text1"/>
          <w:sz w:val="21"/>
          <w:szCs w:val="20"/>
          <w:lang w:eastAsia="ru-RU"/>
        </w:rPr>
        <w:t xml:space="preserve"> </w:t>
      </w:r>
      <w:r>
        <w:rPr>
          <w:rStyle w:val="FootnoteReference"/>
          <w:rFonts w:ascii="Times New Roman" w:eastAsiaTheme="majorEastAsia" w:hAnsi="Times New Roman" w:cs="Tahoma"/>
          <w:color w:val="000000" w:themeColor="text1"/>
          <w:sz w:val="21"/>
          <w:szCs w:val="20"/>
          <w:lang w:val="en-GB" w:eastAsia="ru-RU"/>
        </w:rPr>
        <w:t xml:space="preserve">Krimināllikums (The Criminal Law) ( 1 April 1999) Available at: </w:t>
      </w:r>
      <w:hyperlink r:id="rId7" w:history="1">
        <w:r>
          <w:rPr>
            <w:rStyle w:val="FootnoteReference"/>
            <w:rFonts w:ascii="Times New Roman" w:eastAsiaTheme="majorEastAsia" w:hAnsi="Times New Roman" w:cs="Tahoma"/>
            <w:color w:val="000000" w:themeColor="text1"/>
            <w:sz w:val="21"/>
            <w:szCs w:val="20"/>
            <w:lang w:val="en-GB" w:eastAsia="ru-RU"/>
          </w:rPr>
          <w:t>https://likumi.lv/ta/en/en/id/88966-the-criminal-law.</w:t>
        </w:r>
      </w:hyperlink>
      <w:r>
        <w:rPr>
          <w:rStyle w:val="FootnoteReference"/>
          <w:rFonts w:ascii="Times New Roman" w:eastAsiaTheme="majorEastAsia" w:hAnsi="Times New Roman" w:cs="Tahoma"/>
          <w:color w:val="000000" w:themeColor="text1"/>
          <w:sz w:val="21"/>
          <w:szCs w:val="20"/>
          <w:lang w:val="en-GB" w:eastAsia="ru-RU"/>
        </w:rPr>
        <w:t xml:space="preserve"> Accessed on </w:t>
      </w:r>
      <w:r>
        <w:rPr>
          <w:rStyle w:val="FootnoteReference"/>
          <w:rFonts w:ascii="Times New Roman" w:eastAsiaTheme="majorEastAsia" w:hAnsi="Times New Roman" w:cs="Tahoma"/>
          <w:color w:val="000000" w:themeColor="text1"/>
          <w:sz w:val="21"/>
          <w:szCs w:val="20"/>
          <w:lang w:val="en-GB" w:eastAsia="ru-RU"/>
        </w:rPr>
        <w:t>March 4</w:t>
      </w:r>
      <w:r>
        <w:rPr>
          <w:rStyle w:val="FootnoteReference"/>
          <w:rFonts w:ascii="Times New Roman" w:eastAsiaTheme="majorEastAsia" w:hAnsi="Times New Roman" w:cs="Tahoma"/>
          <w:color w:val="000000" w:themeColor="text1"/>
          <w:sz w:val="21"/>
          <w:szCs w:val="20"/>
          <w:lang w:val="en-GB" w:eastAsia="ru-RU"/>
        </w:rPr>
        <w:t>, 2021</w:t>
      </w:r>
    </w:p>
  </w:footnote>
  <w:footnote w:id="13">
    <w:p w:rsidR="003540B4" w:rsidRDefault="008C0147">
      <w:pPr>
        <w:pStyle w:val="RGSLFootnotes"/>
        <w:rPr>
          <w:rStyle w:val="FootnoteReference"/>
          <w:sz w:val="21"/>
          <w:szCs w:val="20"/>
          <w:lang w:val="en-GB"/>
        </w:rPr>
      </w:pPr>
      <w:r>
        <w:rPr>
          <w:rStyle w:val="FootnoteReference"/>
          <w:sz w:val="21"/>
          <w:szCs w:val="20"/>
        </w:rPr>
        <w:footnoteRef/>
      </w:r>
      <w:r>
        <w:rPr>
          <w:rStyle w:val="FootnoteReference"/>
          <w:sz w:val="21"/>
          <w:szCs w:val="20"/>
        </w:rPr>
        <w:t xml:space="preserve">  C</w:t>
      </w:r>
      <w:r>
        <w:rPr>
          <w:rStyle w:val="FootnoteReference"/>
          <w:sz w:val="21"/>
          <w:szCs w:val="20"/>
          <w:lang w:val="en-GB"/>
        </w:rPr>
        <w:t xml:space="preserve">ouncil Directive  </w:t>
      </w:r>
      <w:r>
        <w:rPr>
          <w:rStyle w:val="FootnoteReference"/>
          <w:sz w:val="21"/>
          <w:szCs w:val="20"/>
        </w:rPr>
        <w:t xml:space="preserve">of 10 June 1991 on </w:t>
      </w:r>
      <w:r>
        <w:rPr>
          <w:rStyle w:val="FootnoteReference"/>
          <w:sz w:val="21"/>
          <w:szCs w:val="20"/>
        </w:rPr>
        <w:t>prevention of the use of the financial system for the purpose of money laundering (91/308/EEC)</w:t>
      </w:r>
      <w:r>
        <w:rPr>
          <w:rStyle w:val="FootnoteReference"/>
          <w:sz w:val="21"/>
          <w:szCs w:val="20"/>
          <w:lang w:val="en-GB"/>
        </w:rPr>
        <w:t xml:space="preserve"> of the Council of the European Communities, OJ </w:t>
      </w:r>
      <w:r>
        <w:rPr>
          <w:rStyle w:val="FootnoteReference"/>
          <w:sz w:val="21"/>
          <w:szCs w:val="20"/>
        </w:rPr>
        <w:t>L 166 </w:t>
      </w:r>
      <w:r>
        <w:rPr>
          <w:rStyle w:val="FootnoteReference"/>
          <w:sz w:val="21"/>
          <w:szCs w:val="20"/>
          <w:lang w:val="en-GB"/>
        </w:rPr>
        <w:t xml:space="preserve">. Available on: </w:t>
      </w:r>
      <w:hyperlink r:id="rId8" w:history="1">
        <w:r>
          <w:rPr>
            <w:rStyle w:val="FootnoteReference"/>
            <w:sz w:val="21"/>
            <w:szCs w:val="20"/>
            <w:lang w:val="en-GB"/>
          </w:rPr>
          <w:t>https://eur-lex.europa.eu/LexUriServ/LexUriServ.do?uri=CELEX:31991L0308:EN:HTML.</w:t>
        </w:r>
      </w:hyperlink>
      <w:r>
        <w:rPr>
          <w:rStyle w:val="FootnoteReference"/>
          <w:sz w:val="21"/>
          <w:szCs w:val="20"/>
          <w:lang w:val="en-GB"/>
        </w:rPr>
        <w:t xml:space="preserve"> Accessed March </w:t>
      </w:r>
      <w:r>
        <w:rPr>
          <w:rStyle w:val="FootnoteReference"/>
          <w:sz w:val="21"/>
          <w:szCs w:val="20"/>
          <w:lang w:val="en-GB"/>
        </w:rPr>
        <w:t>4</w:t>
      </w:r>
      <w:r>
        <w:rPr>
          <w:rStyle w:val="FootnoteReference"/>
          <w:sz w:val="21"/>
          <w:szCs w:val="20"/>
          <w:lang w:val="en-GB"/>
        </w:rPr>
        <w:t>, 20</w:t>
      </w:r>
      <w:r>
        <w:rPr>
          <w:rStyle w:val="FootnoteReference"/>
          <w:sz w:val="21"/>
          <w:szCs w:val="20"/>
          <w:lang w:val="en-GB"/>
        </w:rPr>
        <w:t>21</w:t>
      </w:r>
    </w:p>
  </w:footnote>
  <w:footnote w:id="14">
    <w:p w:rsidR="003540B4" w:rsidRDefault="008C0147">
      <w:pPr>
        <w:pStyle w:val="FootnoteText"/>
        <w:rPr>
          <w:lang w:val="en-GB"/>
        </w:rPr>
      </w:pPr>
      <w:r>
        <w:rPr>
          <w:rStyle w:val="FootnoteReference"/>
        </w:rPr>
        <w:footnoteRef/>
      </w:r>
      <w:r>
        <w:t xml:space="preserve"> </w:t>
      </w:r>
      <w:r>
        <w:rPr>
          <w:rStyle w:val="FootnoteReference"/>
          <w:rFonts w:ascii="Times New Roman" w:hAnsi="Times New Roman"/>
          <w:sz w:val="21"/>
          <w:szCs w:val="20"/>
        </w:rPr>
        <w:t>C</w:t>
      </w:r>
      <w:r>
        <w:rPr>
          <w:rStyle w:val="FootnoteReference"/>
          <w:rFonts w:ascii="Times New Roman" w:hAnsi="Times New Roman"/>
          <w:sz w:val="21"/>
          <w:szCs w:val="20"/>
          <w:lang w:val="en-GB"/>
        </w:rPr>
        <w:t xml:space="preserve">ouncil Directive  </w:t>
      </w:r>
      <w:r>
        <w:rPr>
          <w:rStyle w:val="FootnoteReference"/>
          <w:rFonts w:ascii="Times New Roman" w:hAnsi="Times New Roman"/>
          <w:sz w:val="21"/>
          <w:szCs w:val="20"/>
        </w:rPr>
        <w:t>of 10 June 1991 on prevention of the use of the financial system for the purpose of money laundering (91/308/EEC)</w:t>
      </w:r>
      <w:r>
        <w:rPr>
          <w:rStyle w:val="FootnoteReference"/>
          <w:rFonts w:ascii="Times New Roman" w:hAnsi="Times New Roman"/>
          <w:sz w:val="21"/>
          <w:szCs w:val="20"/>
          <w:lang w:val="en-GB"/>
        </w:rPr>
        <w:t xml:space="preserve"> of the Counc</w:t>
      </w:r>
      <w:r>
        <w:rPr>
          <w:rStyle w:val="FootnoteReference"/>
          <w:rFonts w:ascii="Times New Roman" w:hAnsi="Times New Roman"/>
          <w:sz w:val="21"/>
          <w:szCs w:val="20"/>
          <w:lang w:val="en-GB"/>
        </w:rPr>
        <w:t xml:space="preserve">il of the European Communities, OJ </w:t>
      </w:r>
      <w:r>
        <w:rPr>
          <w:rStyle w:val="FootnoteReference"/>
          <w:rFonts w:ascii="Times New Roman" w:hAnsi="Times New Roman"/>
          <w:sz w:val="21"/>
          <w:szCs w:val="20"/>
        </w:rPr>
        <w:t>L 166 </w:t>
      </w:r>
      <w:r>
        <w:rPr>
          <w:rStyle w:val="FootnoteReference"/>
          <w:rFonts w:ascii="Times New Roman" w:hAnsi="Times New Roman"/>
          <w:sz w:val="21"/>
          <w:szCs w:val="20"/>
          <w:lang w:val="en-GB"/>
        </w:rPr>
        <w:t xml:space="preserve">. Available on: </w:t>
      </w:r>
      <w:hyperlink r:id="rId9" w:history="1">
        <w:r>
          <w:rPr>
            <w:rStyle w:val="FootnoteReference"/>
            <w:rFonts w:ascii="Times New Roman" w:hAnsi="Times New Roman"/>
            <w:sz w:val="21"/>
            <w:szCs w:val="20"/>
            <w:lang w:val="en-GB"/>
          </w:rPr>
          <w:t>https://eur-lex.europa.eu/LexUriServ/LexUriServ.do?uri=CELEX:31991L0308:EN:HTML.</w:t>
        </w:r>
      </w:hyperlink>
      <w:r>
        <w:rPr>
          <w:rStyle w:val="FootnoteReference"/>
          <w:rFonts w:ascii="Times New Roman" w:hAnsi="Times New Roman"/>
          <w:sz w:val="21"/>
          <w:szCs w:val="20"/>
          <w:lang w:val="en-GB"/>
        </w:rPr>
        <w:t xml:space="preserve"> Accessed March </w:t>
      </w:r>
      <w:r>
        <w:rPr>
          <w:rStyle w:val="FootnoteReference"/>
          <w:rFonts w:ascii="Times New Roman" w:hAnsi="Times New Roman"/>
          <w:sz w:val="21"/>
          <w:szCs w:val="20"/>
          <w:lang w:val="en-GB"/>
        </w:rPr>
        <w:t>4</w:t>
      </w:r>
      <w:r>
        <w:rPr>
          <w:rStyle w:val="FootnoteReference"/>
          <w:rFonts w:ascii="Times New Roman" w:hAnsi="Times New Roman"/>
          <w:sz w:val="21"/>
          <w:szCs w:val="20"/>
          <w:lang w:val="en-GB"/>
        </w:rPr>
        <w:t xml:space="preserve">, </w:t>
      </w:r>
      <w:r>
        <w:rPr>
          <w:rStyle w:val="FootnoteReference"/>
          <w:rFonts w:ascii="Times New Roman" w:eastAsiaTheme="majorEastAsia" w:hAnsi="Times New Roman" w:cs="Tahoma"/>
          <w:color w:val="000000" w:themeColor="text1"/>
          <w:sz w:val="21"/>
          <w:szCs w:val="20"/>
          <w:lang w:val="en-GB" w:eastAsia="ru-RU"/>
        </w:rPr>
        <w:t>20</w:t>
      </w:r>
      <w:r>
        <w:rPr>
          <w:rStyle w:val="FootnoteReference"/>
          <w:rFonts w:ascii="Times New Roman" w:eastAsiaTheme="majorEastAsia" w:hAnsi="Times New Roman" w:cs="Tahoma"/>
          <w:color w:val="000000" w:themeColor="text1"/>
          <w:sz w:val="21"/>
          <w:szCs w:val="20"/>
          <w:lang w:val="en-GB" w:eastAsia="ru-RU"/>
        </w:rPr>
        <w:t>2</w:t>
      </w:r>
      <w:r>
        <w:rPr>
          <w:rStyle w:val="FootnoteReference"/>
          <w:rFonts w:ascii="Times New Roman" w:eastAsiaTheme="majorEastAsia" w:hAnsi="Times New Roman" w:cs="Tahoma"/>
          <w:color w:val="000000" w:themeColor="text1"/>
          <w:sz w:val="21"/>
          <w:szCs w:val="20"/>
          <w:lang w:val="en-GB" w:eastAsia="ru-RU"/>
        </w:rPr>
        <w:t>1</w:t>
      </w:r>
    </w:p>
  </w:footnote>
  <w:footnote w:id="15">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Anti- Money Laundering Forum. Europe, available on: </w:t>
      </w:r>
      <w:hyperlink r:id="rId10" w:history="1">
        <w:r>
          <w:rPr>
            <w:rStyle w:val="FootnoteReference"/>
            <w:szCs w:val="20"/>
          </w:rPr>
          <w:t>https://www.anti-moneylaundering.org/Europe.aspx</w:t>
        </w:r>
      </w:hyperlink>
      <w:r>
        <w:rPr>
          <w:rStyle w:val="FootnoteReference"/>
          <w:szCs w:val="20"/>
          <w:lang w:val="en-GB"/>
        </w:rPr>
        <w:t>. A</w:t>
      </w:r>
      <w:r>
        <w:rPr>
          <w:rStyle w:val="FootnoteReference"/>
          <w:szCs w:val="20"/>
          <w:lang w:val="lv-LV"/>
        </w:rPr>
        <w:t xml:space="preserve">ccessed </w:t>
      </w:r>
      <w:r>
        <w:rPr>
          <w:rStyle w:val="FootnoteReference"/>
          <w:szCs w:val="20"/>
          <w:lang w:val="en-GB"/>
        </w:rPr>
        <w:t xml:space="preserve">on March 10, 2021. </w:t>
      </w:r>
    </w:p>
  </w:footnote>
  <w:footnote w:id="16">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Anti- Money Laundering Forum. Europe, available on: </w:t>
      </w:r>
      <w:hyperlink r:id="rId11" w:history="1">
        <w:r>
          <w:rPr>
            <w:rStyle w:val="FootnoteReference"/>
            <w:szCs w:val="20"/>
          </w:rPr>
          <w:t>https://www.anti-moneylaundering.org/Europe.aspx</w:t>
        </w:r>
      </w:hyperlink>
      <w:r>
        <w:rPr>
          <w:rStyle w:val="FootnoteReference"/>
          <w:szCs w:val="20"/>
          <w:lang w:val="en-GB"/>
        </w:rPr>
        <w:t>. A</w:t>
      </w:r>
      <w:r>
        <w:rPr>
          <w:rStyle w:val="FootnoteReference"/>
          <w:szCs w:val="20"/>
          <w:lang w:val="lv-LV"/>
        </w:rPr>
        <w:t xml:space="preserve">ccessed </w:t>
      </w:r>
      <w:r>
        <w:rPr>
          <w:rStyle w:val="FootnoteReference"/>
          <w:szCs w:val="20"/>
          <w:lang w:val="en-GB"/>
        </w:rPr>
        <w:t xml:space="preserve">on March 10, 2021. </w:t>
      </w:r>
    </w:p>
  </w:footnote>
  <w:footnote w:id="17">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Daan van der Linde, </w:t>
      </w:r>
      <w:r>
        <w:rPr>
          <w:rStyle w:val="FootnoteReference"/>
          <w:i/>
          <w:iCs/>
          <w:szCs w:val="20"/>
          <w:lang w:val="en-GB"/>
        </w:rPr>
        <w:t xml:space="preserve">supra </w:t>
      </w:r>
      <w:r>
        <w:rPr>
          <w:rStyle w:val="FootnoteReference"/>
          <w:szCs w:val="20"/>
          <w:lang w:val="en-GB"/>
        </w:rPr>
        <w:t>note 5</w:t>
      </w:r>
      <w:r>
        <w:rPr>
          <w:rStyle w:val="FootnoteReference"/>
          <w:szCs w:val="20"/>
        </w:rPr>
        <w:t>, p. 35</w:t>
      </w:r>
    </w:p>
  </w:footnote>
  <w:footnote w:id="18">
    <w:p w:rsidR="003540B4" w:rsidRDefault="008C0147">
      <w:pPr>
        <w:pStyle w:val="FootnoteText"/>
      </w:pPr>
      <w:r>
        <w:rPr>
          <w:rStyle w:val="FootnoteReference"/>
        </w:rPr>
        <w:footnoteRef/>
      </w:r>
      <w:r>
        <w:t xml:space="preserve"> </w:t>
      </w:r>
      <w:r>
        <w:rPr>
          <w:rStyle w:val="FootnoteReference"/>
          <w:szCs w:val="20"/>
          <w:lang w:val="en-GB"/>
        </w:rPr>
        <w:t xml:space="preserve">Daan van der Linde, </w:t>
      </w:r>
      <w:r>
        <w:rPr>
          <w:rStyle w:val="FootnoteReference"/>
          <w:i/>
          <w:iCs/>
          <w:szCs w:val="20"/>
          <w:lang w:val="en-GB"/>
        </w:rPr>
        <w:t xml:space="preserve">supra </w:t>
      </w:r>
      <w:r>
        <w:rPr>
          <w:rStyle w:val="FootnoteReference"/>
          <w:szCs w:val="20"/>
          <w:lang w:val="en-GB"/>
        </w:rPr>
        <w:t>note 5</w:t>
      </w:r>
      <w:r>
        <w:rPr>
          <w:rStyle w:val="FootnoteReference"/>
          <w:szCs w:val="20"/>
        </w:rPr>
        <w:t>, p. 35</w:t>
      </w:r>
    </w:p>
  </w:footnote>
  <w:footnote w:id="19">
    <w:p w:rsidR="003540B4" w:rsidRDefault="008C0147">
      <w:pPr>
        <w:pStyle w:val="RGSLFootnotes"/>
        <w:rPr>
          <w:rStyle w:val="FootnoteReference"/>
          <w:szCs w:val="20"/>
        </w:rPr>
      </w:pPr>
      <w:r>
        <w:rPr>
          <w:rStyle w:val="FootnoteReference"/>
          <w:szCs w:val="20"/>
        </w:rPr>
        <w:footnoteRef/>
      </w:r>
      <w:r>
        <w:rPr>
          <w:rStyle w:val="FootnoteReference"/>
          <w:szCs w:val="20"/>
        </w:rPr>
        <w:t xml:space="preserve"> James R. Richards, Transna</w:t>
      </w:r>
      <w:r>
        <w:rPr>
          <w:rStyle w:val="FootnoteReference"/>
          <w:szCs w:val="20"/>
        </w:rPr>
        <w:t xml:space="preserve">tional Criminal Organizations, Cybercrime, and Money Laundering: A Handbook for Law Enforcement Officers, Auditors, and Financial Investigators ( CRC Press, 1999), p 45. </w:t>
      </w:r>
    </w:p>
  </w:footnote>
  <w:footnote w:id="20">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Daan van der Linde, </w:t>
      </w:r>
      <w:r>
        <w:rPr>
          <w:rStyle w:val="FootnoteReference"/>
          <w:i/>
          <w:iCs/>
          <w:szCs w:val="20"/>
          <w:lang w:val="en-GB"/>
        </w:rPr>
        <w:t xml:space="preserve">supra </w:t>
      </w:r>
      <w:r>
        <w:rPr>
          <w:rStyle w:val="FootnoteReference"/>
          <w:szCs w:val="20"/>
          <w:lang w:val="en-GB"/>
        </w:rPr>
        <w:t>note 5</w:t>
      </w:r>
      <w:r>
        <w:rPr>
          <w:rStyle w:val="FootnoteReference"/>
          <w:szCs w:val="20"/>
        </w:rPr>
        <w:t>, p. 36-37</w:t>
      </w:r>
    </w:p>
  </w:footnote>
  <w:footnote w:id="21">
    <w:p w:rsidR="003540B4" w:rsidRDefault="008C0147">
      <w:pPr>
        <w:pStyle w:val="RGSLFootnotes"/>
        <w:rPr>
          <w:rStyle w:val="FootnoteReference"/>
          <w:sz w:val="21"/>
          <w:szCs w:val="20"/>
          <w:lang w:val="lv-LV"/>
        </w:rPr>
      </w:pPr>
      <w:r>
        <w:rPr>
          <w:rStyle w:val="FootnoteReference"/>
          <w:sz w:val="21"/>
          <w:szCs w:val="20"/>
        </w:rPr>
        <w:footnoteRef/>
      </w:r>
      <w:r>
        <w:rPr>
          <w:rStyle w:val="FootnoteReference"/>
          <w:sz w:val="21"/>
          <w:szCs w:val="20"/>
        </w:rPr>
        <w:t xml:space="preserve"> </w:t>
      </w:r>
      <w:r>
        <w:rPr>
          <w:rStyle w:val="FootnoteReference"/>
          <w:sz w:val="21"/>
          <w:szCs w:val="20"/>
          <w:lang w:val="en-GB"/>
        </w:rPr>
        <w:t>Di</w:t>
      </w:r>
      <w:r>
        <w:rPr>
          <w:rStyle w:val="FootnoteReference"/>
          <w:sz w:val="21"/>
          <w:szCs w:val="20"/>
          <w:lang w:val="lv-LV"/>
        </w:rPr>
        <w:t>āna Priede,</w:t>
      </w:r>
      <w:r>
        <w:rPr>
          <w:rStyle w:val="FootnoteReference"/>
          <w:sz w:val="21"/>
          <w:szCs w:val="20"/>
          <w:lang w:val="en-GB"/>
        </w:rPr>
        <w:t xml:space="preserve"> RGSL Research Paper in Law and Business. </w:t>
      </w:r>
      <w:r>
        <w:rPr>
          <w:sz w:val="21"/>
          <w:szCs w:val="20"/>
          <w:lang w:val="en-GB"/>
        </w:rPr>
        <w:t>“</w:t>
      </w:r>
      <w:r>
        <w:rPr>
          <w:rStyle w:val="FootnoteReference"/>
          <w:sz w:val="21"/>
          <w:szCs w:val="20"/>
          <w:lang w:val="en-GB"/>
        </w:rPr>
        <w:t>Subject of the Section 195 of the Criminal Law of Latvia and statistical review of criminal law proceeding on money laundering under the section</w:t>
      </w:r>
      <w:r>
        <w:rPr>
          <w:rStyle w:val="FootnoteReference"/>
          <w:sz w:val="21"/>
          <w:szCs w:val="20"/>
          <w:lang w:val="lv-LV"/>
        </w:rPr>
        <w:t>.</w:t>
      </w:r>
      <w:r>
        <w:rPr>
          <w:sz w:val="21"/>
          <w:szCs w:val="20"/>
          <w:lang w:val="en-GB"/>
        </w:rPr>
        <w:t>”</w:t>
      </w:r>
      <w:r>
        <w:rPr>
          <w:rStyle w:val="FootnoteReference"/>
          <w:sz w:val="21"/>
          <w:szCs w:val="20"/>
          <w:lang w:val="lv-LV"/>
        </w:rPr>
        <w:t xml:space="preserve"> </w:t>
      </w:r>
    </w:p>
  </w:footnote>
  <w:footnote w:id="22">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UNITED NATIONS. UNITED NATIONS CONVENTION AGAINST TRANSNATIONAL</w:t>
      </w:r>
      <w:r>
        <w:rPr>
          <w:rStyle w:val="FootnoteReference"/>
          <w:szCs w:val="20"/>
          <w:lang w:val="en-GB"/>
        </w:rPr>
        <w:t xml:space="preserve"> ORGANIZED CRIME AND THE PROTOCOLS THERETO (2004). Available on </w:t>
      </w:r>
      <w:hyperlink r:id="rId12" w:history="1">
        <w:r>
          <w:rPr>
            <w:rStyle w:val="FootnoteReference"/>
            <w:szCs w:val="20"/>
            <w:lang w:val="en-GB"/>
          </w:rPr>
          <w:t>https://www.</w:t>
        </w:r>
        <w:r>
          <w:rPr>
            <w:rStyle w:val="FootnoteReference"/>
            <w:szCs w:val="20"/>
            <w:lang w:val="en-GB"/>
          </w:rPr>
          <w:t>unodc.org/documents/middleeastandnorthafrica/organised-crime/UNITED_NATIONS_CONVENTION_AGAINST_TRANSNATIONAL_ORGANIZED_CRIME_AND_THE_PROTOCOLS_THERETO.pdf</w:t>
        </w:r>
      </w:hyperlink>
      <w:r>
        <w:rPr>
          <w:rStyle w:val="FootnoteReference"/>
          <w:szCs w:val="20"/>
          <w:lang w:val="en-GB"/>
        </w:rPr>
        <w:t>. Accessed 8 November 2020</w:t>
      </w:r>
    </w:p>
  </w:footnote>
  <w:footnote w:id="23">
    <w:p w:rsidR="003540B4" w:rsidRDefault="008C0147">
      <w:pPr>
        <w:pStyle w:val="RGSLFootnotes"/>
        <w:rPr>
          <w:rStyle w:val="FootnoteReference"/>
          <w:szCs w:val="20"/>
          <w:lang w:val="en-GB"/>
        </w:rPr>
      </w:pPr>
      <w:r>
        <w:rPr>
          <w:rStyle w:val="FootnoteReference"/>
          <w:szCs w:val="20"/>
        </w:rPr>
        <w:footnoteRef/>
      </w:r>
      <w:r>
        <w:rPr>
          <w:rStyle w:val="FootnoteReference"/>
          <w:szCs w:val="20"/>
          <w:lang w:val="en-GB"/>
        </w:rPr>
        <w:t xml:space="preserve"> </w:t>
      </w:r>
      <w:r>
        <w:rPr>
          <w:rStyle w:val="FootnoteReference"/>
          <w:szCs w:val="20"/>
        </w:rPr>
        <w:t>Dr. Pavlos Neofytou Kourtellos</w:t>
      </w:r>
      <w:r>
        <w:rPr>
          <w:rStyle w:val="FootnoteReference"/>
          <w:szCs w:val="20"/>
          <w:lang w:val="en-GB"/>
        </w:rPr>
        <w:t>, “</w:t>
      </w:r>
      <w:r>
        <w:rPr>
          <w:rStyle w:val="FootnoteReference"/>
          <w:szCs w:val="20"/>
        </w:rPr>
        <w:t>Implications of the Third Money Laund</w:t>
      </w:r>
      <w:r>
        <w:rPr>
          <w:rStyle w:val="FootnoteReference"/>
          <w:szCs w:val="20"/>
        </w:rPr>
        <w:t>ering Directive</w:t>
      </w:r>
      <w:r>
        <w:rPr>
          <w:rStyle w:val="FootnoteReference"/>
          <w:szCs w:val="20"/>
          <w:lang w:val="en-GB"/>
        </w:rPr>
        <w:t xml:space="preserve">”, p.9, available on: </w:t>
      </w:r>
      <w:hyperlink r:id="rId13" w:history="1">
        <w:r>
          <w:rPr>
            <w:rStyle w:val="FootnoteReference"/>
            <w:szCs w:val="20"/>
          </w:rPr>
          <w:t>https://www.kourtelaw.com/uc/wp-content/uploads/2014/02/Implications-of-the-3rd-Monvey-Launde</w:t>
        </w:r>
        <w:r>
          <w:rPr>
            <w:rStyle w:val="FootnoteReference"/>
            <w:szCs w:val="20"/>
          </w:rPr>
          <w:t>ring-Directive.pdf</w:t>
        </w:r>
        <w:r>
          <w:rPr>
            <w:rStyle w:val="FootnoteReference"/>
            <w:szCs w:val="20"/>
            <w:lang w:val="en-GB"/>
          </w:rPr>
          <w:t>,</w:t>
        </w:r>
      </w:hyperlink>
      <w:r>
        <w:rPr>
          <w:rStyle w:val="FootnoteReference"/>
          <w:szCs w:val="20"/>
          <w:lang w:val="en-GB"/>
        </w:rPr>
        <w:t>. Accessed March 12, 2021</w:t>
      </w:r>
    </w:p>
  </w:footnote>
  <w:footnote w:id="24">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Vanessa Agostino and Michele Riccardi, “Identifying Beneficial Owners For Fighting Against Money Laundering: The Results of EU Project Bownet,” Europeann Police Science and Research Bulletin, issue 8 ( 2013</w:t>
      </w:r>
      <w:r>
        <w:rPr>
          <w:rStyle w:val="FootnoteReference"/>
          <w:szCs w:val="20"/>
          <w:lang w:val="en-GB"/>
        </w:rPr>
        <w:t xml:space="preserve">): p. 15. Available on:  </w:t>
      </w:r>
      <w:hyperlink r:id="rId14" w:history="1">
        <w:r>
          <w:rPr>
            <w:rStyle w:val="FootnoteReference"/>
            <w:szCs w:val="20"/>
          </w:rPr>
          <w:t>https://heinonline.org/HOL/Page?collection=journals&amp;handle=hein.journals/elerb8&amp;id=14&amp;men_tab=srchresults</w:t>
        </w:r>
        <w:r>
          <w:rPr>
            <w:rStyle w:val="FootnoteReference"/>
            <w:szCs w:val="20"/>
            <w:lang w:val="en-GB"/>
          </w:rPr>
          <w:t>.</w:t>
        </w:r>
      </w:hyperlink>
      <w:r>
        <w:rPr>
          <w:rStyle w:val="FootnoteReference"/>
          <w:szCs w:val="20"/>
          <w:lang w:val="en-GB"/>
        </w:rPr>
        <w:t xml:space="preserve"> A</w:t>
      </w:r>
      <w:r>
        <w:rPr>
          <w:rStyle w:val="FootnoteReference"/>
          <w:szCs w:val="20"/>
          <w:lang w:val="en-GB"/>
        </w:rPr>
        <w:t>ccessed March 15, 2021</w:t>
      </w:r>
    </w:p>
  </w:footnote>
  <w:footnote w:id="25">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Directive 2005/60/EC of the European Parliament and of the Council of 26 October 2005 on </w:t>
      </w:r>
      <w:r>
        <w:rPr>
          <w:rStyle w:val="FootnoteReference"/>
          <w:szCs w:val="20"/>
        </w:rPr>
        <w:t>the prevention of the use of the financial system for the purpose of money laundering and terrorist financing</w:t>
      </w:r>
      <w:r>
        <w:rPr>
          <w:rStyle w:val="FootnoteReference"/>
          <w:szCs w:val="20"/>
          <w:lang w:val="en-GB"/>
        </w:rPr>
        <w:t xml:space="preserve">, OJ </w:t>
      </w:r>
      <w:r>
        <w:rPr>
          <w:rStyle w:val="FootnoteReference"/>
          <w:szCs w:val="20"/>
        </w:rPr>
        <w:t>L 309/15</w:t>
      </w:r>
      <w:r>
        <w:rPr>
          <w:rStyle w:val="FootnoteReference"/>
          <w:szCs w:val="20"/>
          <w:lang w:val="en-GB"/>
        </w:rPr>
        <w:t xml:space="preserve">, Available on: </w:t>
      </w:r>
      <w:hyperlink r:id="rId15" w:history="1">
        <w:r>
          <w:rPr>
            <w:rStyle w:val="FootnoteReference"/>
            <w:szCs w:val="20"/>
          </w:rPr>
          <w:t>https://eur-lex.europa.eu/legal-content/EN/TXT/?uri=CELEX%3A32005L0060</w:t>
        </w:r>
        <w:r>
          <w:rPr>
            <w:rStyle w:val="FootnoteReference"/>
            <w:szCs w:val="20"/>
            <w:lang w:val="en-GB"/>
          </w:rPr>
          <w:t>.</w:t>
        </w:r>
      </w:hyperlink>
      <w:r>
        <w:rPr>
          <w:rStyle w:val="FootnoteReference"/>
          <w:szCs w:val="20"/>
          <w:lang w:val="en-GB"/>
        </w:rPr>
        <w:t xml:space="preserve"> Accessed March 16, 2021. </w:t>
      </w:r>
    </w:p>
  </w:footnote>
  <w:footnote w:id="26">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Vanessa Agostino and Michele Riccardi, “Identifying Beneficial Owner</w:t>
      </w:r>
      <w:r>
        <w:rPr>
          <w:rStyle w:val="FootnoteReference"/>
          <w:szCs w:val="20"/>
          <w:lang w:val="en-GB"/>
        </w:rPr>
        <w:t xml:space="preserve">s For Fighting Against Money Laundering: The Results of EU Project Bownet,” Europeann Police Science and Research Bulletin, issue 8 ( 2013): p. 15. Available on:  </w:t>
      </w:r>
      <w:hyperlink r:id="rId16" w:history="1">
        <w:r>
          <w:rPr>
            <w:rStyle w:val="FootnoteReference"/>
            <w:szCs w:val="20"/>
          </w:rPr>
          <w:t>https://heinonline.org/HOL/Page?collection=journals&amp;handle=hein.journals/elerb8&amp;id=14&amp;men_tab=srchresults</w:t>
        </w:r>
        <w:r>
          <w:rPr>
            <w:rStyle w:val="FootnoteReference"/>
            <w:szCs w:val="20"/>
            <w:lang w:val="en-GB"/>
          </w:rPr>
          <w:t>.</w:t>
        </w:r>
      </w:hyperlink>
      <w:r>
        <w:rPr>
          <w:rStyle w:val="FootnoteReference"/>
          <w:szCs w:val="20"/>
          <w:lang w:val="en-GB"/>
        </w:rPr>
        <w:t xml:space="preserve"> Accessed March 15, 2021. </w:t>
      </w:r>
    </w:p>
  </w:footnote>
  <w:footnote w:id="27">
    <w:p w:rsidR="003540B4" w:rsidRDefault="008C0147">
      <w:pPr>
        <w:pStyle w:val="RGSLFootnotes"/>
        <w:rPr>
          <w:rStyle w:val="FootnoteReference"/>
          <w:szCs w:val="20"/>
        </w:rPr>
      </w:pPr>
      <w:r>
        <w:rPr>
          <w:rStyle w:val="FootnoteReference"/>
          <w:szCs w:val="20"/>
        </w:rPr>
        <w:footnoteRef/>
      </w:r>
      <w:r>
        <w:rPr>
          <w:rStyle w:val="FootnoteReference"/>
          <w:szCs w:val="20"/>
        </w:rPr>
        <w:t xml:space="preserve"> Emile van der Does de Willebois, , J.C. Sharman, , Robert Harrison, , Ji Won Park, , Emily </w:t>
      </w:r>
      <w:r>
        <w:rPr>
          <w:rStyle w:val="FootnoteReference"/>
          <w:szCs w:val="20"/>
        </w:rPr>
        <w:t>Halter, , and World Bank</w:t>
      </w:r>
      <w:r>
        <w:rPr>
          <w:rStyle w:val="FootnoteReference"/>
          <w:szCs w:val="20"/>
          <w:lang w:val="en-GB"/>
        </w:rPr>
        <w:t xml:space="preserve">, Puppet Masters : How the Corrupt Use Legal Structures to Hide Stolen Assets and What to Do About It ( World Bank Publications, 2011-01-01) ,p. 33,  accessed March 20, 2021, </w:t>
      </w:r>
      <w:r>
        <w:rPr>
          <w:rStyle w:val="FootnoteReference"/>
          <w:szCs w:val="20"/>
        </w:rPr>
        <w:t>https://ebookcentral.proquest.com/lib/lulv/reader.action?</w:t>
      </w:r>
      <w:r>
        <w:rPr>
          <w:rStyle w:val="FootnoteReference"/>
          <w:szCs w:val="20"/>
        </w:rPr>
        <w:t>docID=799756&amp;ppg=33</w:t>
      </w:r>
    </w:p>
  </w:footnote>
  <w:footnote w:id="28">
    <w:p w:rsidR="003540B4" w:rsidRDefault="008C0147">
      <w:pPr>
        <w:pStyle w:val="RGSLFootnotes"/>
        <w:rPr>
          <w:rStyle w:val="FootnoteReference"/>
          <w:szCs w:val="20"/>
        </w:rPr>
      </w:pPr>
      <w:r>
        <w:rPr>
          <w:rStyle w:val="FootnoteReference"/>
          <w:szCs w:val="20"/>
        </w:rPr>
        <w:footnoteRef/>
      </w:r>
      <w:r>
        <w:rPr>
          <w:rStyle w:val="FootnoteReference"/>
          <w:szCs w:val="20"/>
        </w:rPr>
        <w:t xml:space="preserve"> Emile van der Does de Willebois,</w:t>
      </w:r>
      <w:r>
        <w:rPr>
          <w:szCs w:val="20"/>
          <w:lang w:val="en-GB"/>
        </w:rPr>
        <w:t xml:space="preserve"> </w:t>
      </w:r>
      <w:r>
        <w:rPr>
          <w:rStyle w:val="FootnoteReference"/>
          <w:i/>
          <w:iCs/>
          <w:szCs w:val="20"/>
          <w:lang w:val="en-GB"/>
        </w:rPr>
        <w:t xml:space="preserve">supra </w:t>
      </w:r>
      <w:r>
        <w:rPr>
          <w:rStyle w:val="FootnoteReference"/>
          <w:szCs w:val="20"/>
          <w:lang w:val="en-GB"/>
        </w:rPr>
        <w:t>note 21</w:t>
      </w:r>
    </w:p>
  </w:footnote>
  <w:footnote w:id="29">
    <w:p w:rsidR="003540B4" w:rsidRDefault="008C0147">
      <w:pPr>
        <w:pStyle w:val="RGSLFootnotes"/>
        <w:rPr>
          <w:rStyle w:val="FootnoteReference"/>
          <w:szCs w:val="20"/>
        </w:rPr>
      </w:pPr>
      <w:r>
        <w:rPr>
          <w:rStyle w:val="FootnoteReference"/>
          <w:szCs w:val="20"/>
        </w:rPr>
        <w:footnoteRef/>
      </w:r>
      <w:r>
        <w:rPr>
          <w:rStyle w:val="FootnoteReference"/>
          <w:szCs w:val="20"/>
        </w:rPr>
        <w:t xml:space="preserve"> Emile van der Does de Willebois, </w:t>
      </w:r>
      <w:r>
        <w:rPr>
          <w:rStyle w:val="FootnoteReference"/>
          <w:i/>
          <w:iCs/>
          <w:szCs w:val="20"/>
          <w:lang w:val="en-GB"/>
        </w:rPr>
        <w:t xml:space="preserve">supra </w:t>
      </w:r>
      <w:r>
        <w:rPr>
          <w:rStyle w:val="FootnoteReference"/>
          <w:szCs w:val="20"/>
          <w:lang w:val="en-GB"/>
        </w:rPr>
        <w:t>note 21</w:t>
      </w:r>
    </w:p>
  </w:footnote>
  <w:footnote w:id="30">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C</w:t>
      </w:r>
      <w:r>
        <w:rPr>
          <w:rStyle w:val="FootnoteReference"/>
          <w:szCs w:val="20"/>
          <w:lang w:val="en-GB"/>
        </w:rPr>
        <w:t xml:space="preserve">ouncil Directive  </w:t>
      </w:r>
      <w:r>
        <w:rPr>
          <w:rStyle w:val="FootnoteReference"/>
          <w:szCs w:val="20"/>
        </w:rPr>
        <w:t>of 10 June 1991 on prevention of the use of the financial system for the purpose of money laundering (91/308/EEC)</w:t>
      </w:r>
      <w:r>
        <w:rPr>
          <w:rStyle w:val="FootnoteReference"/>
          <w:szCs w:val="20"/>
          <w:lang w:val="en-GB"/>
        </w:rPr>
        <w:t xml:space="preserve"> of </w:t>
      </w:r>
      <w:r>
        <w:rPr>
          <w:rStyle w:val="FootnoteReference"/>
          <w:szCs w:val="20"/>
          <w:lang w:val="en-GB"/>
        </w:rPr>
        <w:t xml:space="preserve">the Council of the European Communities, OJ </w:t>
      </w:r>
      <w:r>
        <w:rPr>
          <w:rStyle w:val="FootnoteReference"/>
          <w:szCs w:val="20"/>
        </w:rPr>
        <w:t>L 166 </w:t>
      </w:r>
      <w:r>
        <w:rPr>
          <w:rStyle w:val="FootnoteReference"/>
          <w:szCs w:val="20"/>
          <w:lang w:val="en-GB"/>
        </w:rPr>
        <w:t xml:space="preserve">. Available on: </w:t>
      </w:r>
      <w:hyperlink r:id="rId17" w:history="1">
        <w:r>
          <w:rPr>
            <w:rStyle w:val="FootnoteReference"/>
            <w:szCs w:val="20"/>
            <w:lang w:val="en-GB"/>
          </w:rPr>
          <w:t>https://eur-lex.europa.eu/LexUriServ/LexUriServ.do?uri=CELEX:31991L0308:EN:HTML.</w:t>
        </w:r>
      </w:hyperlink>
      <w:r>
        <w:rPr>
          <w:rStyle w:val="FootnoteReference"/>
          <w:szCs w:val="20"/>
          <w:lang w:val="en-GB"/>
        </w:rPr>
        <w:t xml:space="preserve"> Accessed Mar</w:t>
      </w:r>
      <w:r>
        <w:rPr>
          <w:rStyle w:val="FootnoteReference"/>
          <w:szCs w:val="20"/>
          <w:lang w:val="en-GB"/>
        </w:rPr>
        <w:t xml:space="preserve">ch 23, 20. </w:t>
      </w:r>
    </w:p>
  </w:footnote>
  <w:footnote w:id="31">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F</w:t>
      </w:r>
      <w:r>
        <w:rPr>
          <w:rStyle w:val="FootnoteReference"/>
          <w:szCs w:val="20"/>
          <w:lang w:val="en-GB"/>
        </w:rPr>
        <w:t xml:space="preserve">innancial Action Task Force on Money Laundering. Annual Report 1996-1997. Available on: </w:t>
      </w:r>
      <w:hyperlink r:id="rId18" w:history="1">
        <w:r>
          <w:rPr>
            <w:rStyle w:val="FootnoteReference"/>
            <w:szCs w:val="20"/>
          </w:rPr>
          <w:t>https://www.fatf-gafi.org/media/fatf/documents/reports/1996%20</w:t>
        </w:r>
        <w:r>
          <w:rPr>
            <w:rStyle w:val="FootnoteReference"/>
            <w:szCs w:val="20"/>
          </w:rPr>
          <w:t>1997%20ENG.pdf</w:t>
        </w:r>
        <w:r>
          <w:rPr>
            <w:rStyle w:val="FootnoteReference"/>
            <w:szCs w:val="20"/>
            <w:lang w:val="en-GB"/>
          </w:rPr>
          <w:t>.</w:t>
        </w:r>
      </w:hyperlink>
      <w:r>
        <w:rPr>
          <w:rStyle w:val="FootnoteReference"/>
          <w:szCs w:val="20"/>
          <w:lang w:val="en-GB"/>
        </w:rPr>
        <w:t xml:space="preserve"> Accessed March 23, 20. </w:t>
      </w:r>
    </w:p>
  </w:footnote>
  <w:footnote w:id="32">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Financial Action TAsk Force on Money Laundering. Annual Report 1996-1997.Availableon:</w:t>
      </w:r>
      <w:r>
        <w:rPr>
          <w:rStyle w:val="FootnoteReference"/>
          <w:szCs w:val="20"/>
        </w:rPr>
        <w:t>https://www.fatf-gafi.org/media/fatf/documents/reports/1996%201997%20ENG.pdf</w:t>
      </w:r>
      <w:r>
        <w:rPr>
          <w:rStyle w:val="FootnoteReference"/>
          <w:szCs w:val="20"/>
          <w:lang w:val="en-GB"/>
        </w:rPr>
        <w:t xml:space="preserve">. Accessed March 23, 2021. </w:t>
      </w:r>
    </w:p>
  </w:footnote>
  <w:footnote w:id="33">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L</w:t>
      </w:r>
      <w:r>
        <w:rPr>
          <w:rStyle w:val="FootnoteReference"/>
          <w:szCs w:val="20"/>
          <w:lang w:val="en-GB"/>
        </w:rPr>
        <w:t xml:space="preserve">eonardo </w:t>
      </w:r>
      <w:r>
        <w:rPr>
          <w:rStyle w:val="FootnoteReference"/>
          <w:szCs w:val="20"/>
        </w:rPr>
        <w:t>B</w:t>
      </w:r>
      <w:r>
        <w:rPr>
          <w:rStyle w:val="FootnoteReference"/>
          <w:szCs w:val="20"/>
          <w:lang w:val="en-GB"/>
        </w:rPr>
        <w:t>orlini and</w:t>
      </w:r>
      <w:r>
        <w:rPr>
          <w:rStyle w:val="FootnoteReference"/>
          <w:szCs w:val="20"/>
        </w:rPr>
        <w:t xml:space="preserve"> F</w:t>
      </w:r>
      <w:r>
        <w:rPr>
          <w:rStyle w:val="FootnoteReference"/>
          <w:szCs w:val="20"/>
          <w:lang w:val="en-GB"/>
        </w:rPr>
        <w:t xml:space="preserve">rancesco </w:t>
      </w:r>
      <w:r>
        <w:rPr>
          <w:rStyle w:val="FootnoteReference"/>
          <w:szCs w:val="20"/>
        </w:rPr>
        <w:t>M</w:t>
      </w:r>
      <w:r>
        <w:rPr>
          <w:rStyle w:val="FootnoteReference"/>
          <w:szCs w:val="20"/>
          <w:lang w:val="en-GB"/>
        </w:rPr>
        <w:t>ontanaro, “</w:t>
      </w:r>
      <w:r>
        <w:rPr>
          <w:rStyle w:val="FootnoteReference"/>
          <w:szCs w:val="20"/>
        </w:rPr>
        <w:t>T</w:t>
      </w:r>
      <w:r>
        <w:rPr>
          <w:rStyle w:val="FootnoteReference"/>
          <w:szCs w:val="20"/>
          <w:lang w:val="en-GB"/>
        </w:rPr>
        <w:t xml:space="preserve">the Evolution of the EU Law Against Criminal Finance: The “Hardening” of FATF Standards within the EU”, p.19, available on: </w:t>
      </w:r>
      <w:r>
        <w:rPr>
          <w:rStyle w:val="FootnoteReference"/>
          <w:szCs w:val="20"/>
        </w:rPr>
        <w:t>https://poseidon01.ssrn.com/delivery.php?ID=6560040841150000310641270080220000710230080770170620050960230770</w:t>
      </w:r>
      <w:r>
        <w:rPr>
          <w:rStyle w:val="FootnoteReference"/>
          <w:szCs w:val="20"/>
        </w:rPr>
        <w:t>96117096106001070000024056016012056112062067112075104121002097105083064042055004020080064024119087003010021000093021127126086002067072115028031085071031028017087006105076109016097117083074&amp;EXT=pdf&amp;INDEX=TRUE</w:t>
      </w:r>
      <w:r>
        <w:rPr>
          <w:rStyle w:val="FootnoteReference"/>
          <w:szCs w:val="20"/>
          <w:lang w:val="en-GB"/>
        </w:rPr>
        <w:t xml:space="preserve">. Accessed March 23, 2021. </w:t>
      </w:r>
    </w:p>
  </w:footnote>
  <w:footnote w:id="34">
    <w:p w:rsidR="003540B4" w:rsidRDefault="008C0147">
      <w:pPr>
        <w:pStyle w:val="RGSLFootnotes"/>
        <w:rPr>
          <w:rStyle w:val="FootnoteReference"/>
          <w:szCs w:val="20"/>
        </w:rPr>
      </w:pPr>
      <w:r>
        <w:rPr>
          <w:rStyle w:val="FootnoteReference"/>
          <w:szCs w:val="20"/>
        </w:rPr>
        <w:footnoteRef/>
      </w:r>
      <w:r>
        <w:rPr>
          <w:rStyle w:val="FootnoteReference"/>
          <w:szCs w:val="20"/>
        </w:rPr>
        <w:t xml:space="preserve"> B</w:t>
      </w:r>
      <w:r>
        <w:rPr>
          <w:rStyle w:val="FootnoteReference"/>
          <w:szCs w:val="20"/>
          <w:lang w:val="en-GB"/>
        </w:rPr>
        <w:t>orlini and</w:t>
      </w:r>
      <w:r>
        <w:rPr>
          <w:rStyle w:val="FootnoteReference"/>
          <w:szCs w:val="20"/>
        </w:rPr>
        <w:t xml:space="preserve"> M</w:t>
      </w:r>
      <w:r>
        <w:rPr>
          <w:rStyle w:val="FootnoteReference"/>
          <w:szCs w:val="20"/>
          <w:lang w:val="en-GB"/>
        </w:rPr>
        <w:t xml:space="preserve">ontanaro, </w:t>
      </w:r>
      <w:r>
        <w:rPr>
          <w:rStyle w:val="FootnoteReference"/>
          <w:i/>
          <w:iCs/>
          <w:szCs w:val="20"/>
          <w:lang w:val="en-GB"/>
        </w:rPr>
        <w:t xml:space="preserve">supra </w:t>
      </w:r>
      <w:r>
        <w:rPr>
          <w:rStyle w:val="FootnoteReference"/>
          <w:szCs w:val="20"/>
          <w:lang w:val="en-GB"/>
        </w:rPr>
        <w:t>note 27.</w:t>
      </w:r>
    </w:p>
  </w:footnote>
  <w:footnote w:id="35">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Directive 2001/97/EC of the European PArliament and of the Council of 4 December 2001 amending Council Directive 91/308/EEC on prevention of the use of the finacial system for the purpose of money laundering, OJ L 344. Available </w:t>
      </w:r>
      <w:r>
        <w:rPr>
          <w:rStyle w:val="FootnoteReference"/>
          <w:szCs w:val="20"/>
          <w:lang w:val="en-GB"/>
        </w:rPr>
        <w:t xml:space="preserve">on: </w:t>
      </w:r>
      <w:hyperlink r:id="rId19" w:history="1">
        <w:r>
          <w:rPr>
            <w:rStyle w:val="FootnoteReference"/>
            <w:szCs w:val="20"/>
            <w:lang w:val="en-GB"/>
          </w:rPr>
          <w:t>https://eur-lex.europa.eu/legal-content/EN/ALL/?uri=CELEX%3A32001L0097.</w:t>
        </w:r>
      </w:hyperlink>
      <w:r>
        <w:rPr>
          <w:rStyle w:val="FootnoteReference"/>
          <w:szCs w:val="20"/>
          <w:lang w:val="en-GB"/>
        </w:rPr>
        <w:t xml:space="preserve"> Accessed Marrch 25, 2021.</w:t>
      </w:r>
    </w:p>
  </w:footnote>
  <w:footnote w:id="36">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DIRECTIVE 2005/60/EC OF THE EUROPEAN PARLIAMENT AND OF THE COUNC</w:t>
      </w:r>
      <w:r>
        <w:rPr>
          <w:rStyle w:val="FootnoteReference"/>
          <w:szCs w:val="20"/>
        </w:rPr>
        <w:t xml:space="preserve">IL of 26 October 2005 on the prevention of the use of the financial system for the purpose of money laundering and terrorist </w:t>
      </w:r>
      <w:r>
        <w:rPr>
          <w:rStyle w:val="FootnoteReference"/>
          <w:szCs w:val="20"/>
          <w:lang w:val="en-GB"/>
        </w:rPr>
        <w:t xml:space="preserve">financing Text eith EEA relevance, OJ L309/15. Available on: </w:t>
      </w:r>
      <w:hyperlink r:id="rId20" w:history="1">
        <w:r>
          <w:rPr>
            <w:rStyle w:val="FootnoteReference"/>
            <w:szCs w:val="20"/>
          </w:rPr>
          <w:t>https://eur-lex.europa.eu/legal-content/EN/TXT/?uri=CELEX%3A32005L0060</w:t>
        </w:r>
        <w:r>
          <w:rPr>
            <w:rStyle w:val="FootnoteReference"/>
            <w:szCs w:val="20"/>
            <w:lang w:val="en-GB"/>
          </w:rPr>
          <w:t>.</w:t>
        </w:r>
      </w:hyperlink>
      <w:r>
        <w:rPr>
          <w:rStyle w:val="FootnoteReference"/>
          <w:szCs w:val="20"/>
          <w:lang w:val="en-GB"/>
        </w:rPr>
        <w:t xml:space="preserve"> Accessed on March 25, 2021</w:t>
      </w:r>
    </w:p>
  </w:footnote>
  <w:footnote w:id="37">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DIRECTIVE 2005/60/EC OF THE EUROPEAN PARLIAMENT AND OF THE COUNCIL of 26 October 2005 on the prevention of the use of the financial syste</w:t>
      </w:r>
      <w:r>
        <w:rPr>
          <w:rStyle w:val="FootnoteReference"/>
          <w:szCs w:val="20"/>
        </w:rPr>
        <w:t xml:space="preserve">m for the purpose of money laundering and terrorist </w:t>
      </w:r>
      <w:r>
        <w:rPr>
          <w:rStyle w:val="FootnoteReference"/>
          <w:szCs w:val="20"/>
          <w:lang w:val="en-GB"/>
        </w:rPr>
        <w:t xml:space="preserve">financing Text with EEA relevance, OJ L309/15. Available on: </w:t>
      </w:r>
      <w:hyperlink r:id="rId21" w:history="1">
        <w:r>
          <w:rPr>
            <w:rStyle w:val="FootnoteReference"/>
            <w:szCs w:val="20"/>
          </w:rPr>
          <w:t>https://eur-lex.europa.eu/legal-content/EN/TXT/?uri=CELEX%</w:t>
        </w:r>
        <w:r>
          <w:rPr>
            <w:rStyle w:val="FootnoteReference"/>
            <w:szCs w:val="20"/>
          </w:rPr>
          <w:t>3A32005L0060</w:t>
        </w:r>
        <w:r>
          <w:rPr>
            <w:rStyle w:val="FootnoteReference"/>
            <w:szCs w:val="20"/>
            <w:lang w:val="en-GB"/>
          </w:rPr>
          <w:t>.</w:t>
        </w:r>
      </w:hyperlink>
      <w:r>
        <w:rPr>
          <w:rStyle w:val="FootnoteReference"/>
          <w:szCs w:val="20"/>
          <w:lang w:val="en-GB"/>
        </w:rPr>
        <w:t xml:space="preserve"> Accessed on March 27, 2021</w:t>
      </w:r>
    </w:p>
  </w:footnote>
  <w:footnote w:id="38">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Jakovs Kaplans</w:t>
      </w:r>
      <w:r>
        <w:rPr>
          <w:rStyle w:val="FootnoteReference"/>
          <w:szCs w:val="20"/>
          <w:lang w:val="en-GB"/>
        </w:rPr>
        <w:t xml:space="preserve">, </w:t>
      </w:r>
      <w:r>
        <w:rPr>
          <w:rStyle w:val="FootnoteReference"/>
          <w:szCs w:val="20"/>
        </w:rPr>
        <w:t>Risk-Based Approach in the European Anti-Money Laundering Legislation: Origins, Benefits, and Implications</w:t>
      </w:r>
      <w:r>
        <w:rPr>
          <w:rStyle w:val="FootnoteReference"/>
          <w:szCs w:val="20"/>
          <w:lang w:val="en-GB"/>
        </w:rPr>
        <w:t>, availble on:</w:t>
      </w:r>
      <w:hyperlink r:id="rId22" w:history="1">
        <w:r>
          <w:rPr>
            <w:rStyle w:val="FootnoteReference"/>
            <w:szCs w:val="20"/>
          </w:rPr>
          <w:t>https://core.a</w:t>
        </w:r>
        <w:r>
          <w:rPr>
            <w:rStyle w:val="FootnoteReference"/>
            <w:szCs w:val="20"/>
          </w:rPr>
          <w:t>c.uk/download/pdf/188582432.pdf</w:t>
        </w:r>
        <w:r>
          <w:rPr>
            <w:rStyle w:val="FootnoteReference"/>
            <w:szCs w:val="20"/>
            <w:lang w:val="en-GB"/>
          </w:rPr>
          <w:t>,</w:t>
        </w:r>
      </w:hyperlink>
      <w:r>
        <w:rPr>
          <w:rStyle w:val="FootnoteReference"/>
          <w:szCs w:val="20"/>
          <w:lang w:val="en-GB"/>
        </w:rPr>
        <w:t xml:space="preserve"> p 23</w:t>
      </w:r>
      <w:r>
        <w:rPr>
          <w:rStyle w:val="FootnoteReference"/>
          <w:sz w:val="21"/>
          <w:szCs w:val="20"/>
          <w:lang w:val="en-GB"/>
        </w:rPr>
        <w:t>. Accessed March 28, 2021</w:t>
      </w:r>
    </w:p>
  </w:footnote>
  <w:footnote w:id="39">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DIRECTIVE 2005/60/EC OF THE EUROPEAN PARLIAMENT AND OF THE COUNCIL of 26 October 2005 on the prevention of the use of the financial system for the purpose of money laundering and terrorist</w:t>
      </w:r>
      <w:r>
        <w:rPr>
          <w:rStyle w:val="FootnoteReference"/>
          <w:szCs w:val="20"/>
        </w:rPr>
        <w:t xml:space="preserve"> </w:t>
      </w:r>
      <w:r>
        <w:rPr>
          <w:rStyle w:val="FootnoteReference"/>
          <w:szCs w:val="20"/>
          <w:lang w:val="en-GB"/>
        </w:rPr>
        <w:t xml:space="preserve">financing Text with EEA relevance, OJ L309/15. Available on: </w:t>
      </w:r>
      <w:hyperlink r:id="rId23" w:history="1">
        <w:r>
          <w:rPr>
            <w:rStyle w:val="FootnoteReference"/>
            <w:szCs w:val="20"/>
          </w:rPr>
          <w:t>https://eur-lex.europa.eu/legal-content/EN/TXT/?uri=CELEX%3A32005L0060</w:t>
        </w:r>
        <w:r>
          <w:rPr>
            <w:rStyle w:val="FootnoteReference"/>
            <w:szCs w:val="20"/>
            <w:lang w:val="en-GB"/>
          </w:rPr>
          <w:t>.</w:t>
        </w:r>
      </w:hyperlink>
      <w:r>
        <w:rPr>
          <w:rStyle w:val="FootnoteReference"/>
          <w:szCs w:val="20"/>
          <w:lang w:val="en-GB"/>
        </w:rPr>
        <w:t xml:space="preserve"> Accessed on March 27, 2021</w:t>
      </w:r>
    </w:p>
  </w:footnote>
  <w:footnote w:id="40">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Ibid</w:t>
      </w:r>
      <w:r>
        <w:rPr>
          <w:szCs w:val="20"/>
          <w:lang w:val="en-GB"/>
        </w:rPr>
        <w:t>.</w:t>
      </w:r>
      <w:r>
        <w:rPr>
          <w:szCs w:val="20"/>
          <w:lang w:val="en-GB"/>
        </w:rPr>
        <w:t xml:space="preserve"> </w:t>
      </w:r>
    </w:p>
  </w:footnote>
  <w:footnote w:id="41">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Ibid</w:t>
      </w:r>
    </w:p>
  </w:footnote>
  <w:footnote w:id="42">
    <w:p w:rsidR="003540B4" w:rsidRDefault="008C0147">
      <w:pPr>
        <w:pStyle w:val="RGSLFootnotes"/>
        <w:rPr>
          <w:rStyle w:val="FootnoteReference"/>
          <w:szCs w:val="20"/>
        </w:rPr>
      </w:pPr>
      <w:r>
        <w:rPr>
          <w:rStyle w:val="FootnoteReference"/>
          <w:szCs w:val="20"/>
        </w:rPr>
        <w:footnoteRef/>
      </w:r>
      <w:r>
        <w:rPr>
          <w:rStyle w:val="FootnoteReference"/>
          <w:szCs w:val="20"/>
          <w:lang w:eastAsia="zh-CN"/>
        </w:rPr>
        <w:t xml:space="preserve"> DIRECTIVE (EU) 2015/849 OF THE EUROPEAN PARLIAMENT AND OF THE COUNCIL</w:t>
      </w:r>
      <w:r>
        <w:rPr>
          <w:rStyle w:val="FootnoteReference"/>
          <w:szCs w:val="20"/>
          <w:lang w:val="en-GB" w:eastAsia="zh-CN"/>
        </w:rPr>
        <w:t xml:space="preserve"> </w:t>
      </w:r>
      <w:r>
        <w:rPr>
          <w:rStyle w:val="FootnoteReference"/>
          <w:szCs w:val="20"/>
          <w:lang w:eastAsia="zh-CN"/>
        </w:rPr>
        <w:t>of 20 May 2015</w:t>
      </w:r>
      <w:r>
        <w:rPr>
          <w:rStyle w:val="FootnoteReference"/>
          <w:szCs w:val="20"/>
          <w:lang w:val="en-GB" w:eastAsia="zh-CN"/>
        </w:rPr>
        <w:t xml:space="preserve"> </w:t>
      </w:r>
      <w:r>
        <w:rPr>
          <w:rStyle w:val="FootnoteReference"/>
          <w:szCs w:val="20"/>
          <w:lang w:eastAsia="zh-CN"/>
        </w:rPr>
        <w:t xml:space="preserve">on the prevention of the use of the financial system for the purposes of money laundering or terrorist financing, amending Regulation (EU) No 648/2012 of the </w:t>
      </w:r>
      <w:r>
        <w:rPr>
          <w:rStyle w:val="FootnoteReference"/>
          <w:szCs w:val="20"/>
          <w:lang w:eastAsia="zh-CN"/>
        </w:rPr>
        <w:t>European Parliament and of the Council, and repealing Directive 2005/60/EC of the European Parliament and of the Council and Commission Directive 2006/70/EC</w:t>
      </w:r>
      <w:r>
        <w:rPr>
          <w:rStyle w:val="FootnoteReference"/>
          <w:szCs w:val="20"/>
          <w:lang w:val="en-GB" w:eastAsia="zh-CN"/>
        </w:rPr>
        <w:t xml:space="preserve"> </w:t>
      </w:r>
      <w:r>
        <w:rPr>
          <w:rStyle w:val="FootnoteReference"/>
          <w:szCs w:val="20"/>
          <w:lang w:eastAsia="zh-CN"/>
        </w:rPr>
        <w:t>Text with EEA relevance</w:t>
      </w:r>
      <w:r>
        <w:rPr>
          <w:rStyle w:val="FootnoteReference"/>
          <w:szCs w:val="20"/>
          <w:lang w:val="en-GB" w:eastAsia="zh-CN"/>
        </w:rPr>
        <w:t xml:space="preserve">. Available on: </w:t>
      </w:r>
      <w:hyperlink r:id="rId24" w:history="1">
        <w:r>
          <w:rPr>
            <w:rStyle w:val="FootnoteReference"/>
            <w:szCs w:val="20"/>
            <w:lang w:val="en-GB" w:eastAsia="zh-CN"/>
          </w:rPr>
          <w:t>https://eur-lex.europa.eu/legal-content/EN/TXT/HTML/?uri=CELEX:32015L0849&amp;from=FR.</w:t>
        </w:r>
      </w:hyperlink>
      <w:r>
        <w:rPr>
          <w:rStyle w:val="FootnoteReference"/>
          <w:szCs w:val="20"/>
          <w:lang w:val="en-GB" w:eastAsia="zh-CN"/>
        </w:rPr>
        <w:t xml:space="preserve"> Accessed on March 27, 2021</w:t>
      </w:r>
    </w:p>
  </w:footnote>
  <w:footnote w:id="43">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eastAsia="zh-CN"/>
        </w:rPr>
        <w:t>DIRECTIVE (EU) 2015/849 OF THE EUROPEAN PARLIAMENT AND OF THE COUNCIL</w:t>
      </w:r>
      <w:r>
        <w:rPr>
          <w:rStyle w:val="FootnoteReference"/>
          <w:szCs w:val="20"/>
          <w:lang w:val="en-GB" w:eastAsia="zh-CN"/>
        </w:rPr>
        <w:t xml:space="preserve"> </w:t>
      </w:r>
      <w:r>
        <w:rPr>
          <w:rStyle w:val="FootnoteReference"/>
          <w:szCs w:val="20"/>
          <w:lang w:eastAsia="zh-CN"/>
        </w:rPr>
        <w:t>of 20 May 2015</w:t>
      </w:r>
      <w:r>
        <w:rPr>
          <w:rStyle w:val="FootnoteReference"/>
          <w:szCs w:val="20"/>
          <w:lang w:val="en-GB" w:eastAsia="zh-CN"/>
        </w:rPr>
        <w:t xml:space="preserve"> </w:t>
      </w:r>
      <w:r>
        <w:rPr>
          <w:rStyle w:val="FootnoteReference"/>
          <w:szCs w:val="20"/>
          <w:lang w:eastAsia="zh-CN"/>
        </w:rPr>
        <w:t>on the prevention of</w:t>
      </w:r>
      <w:r>
        <w:rPr>
          <w:rStyle w:val="FootnoteReference"/>
          <w:szCs w:val="20"/>
          <w:lang w:eastAsia="zh-CN"/>
        </w:rPr>
        <w:t xml:space="preserve"> the use of the financial system for the purposes of money laundering or terrorist financing, amending Regulation (EU) No 648/2012 of the European Parliament and of the Council, and repealing Directive 2005/60/EC of the European Parliament and of the Counc</w:t>
      </w:r>
      <w:r>
        <w:rPr>
          <w:rStyle w:val="FootnoteReference"/>
          <w:szCs w:val="20"/>
          <w:lang w:eastAsia="zh-CN"/>
        </w:rPr>
        <w:t>il and Commission Directive 2006/70/EC</w:t>
      </w:r>
      <w:r>
        <w:rPr>
          <w:rStyle w:val="FootnoteReference"/>
          <w:szCs w:val="20"/>
          <w:lang w:val="en-GB" w:eastAsia="zh-CN"/>
        </w:rPr>
        <w:t xml:space="preserve"> </w:t>
      </w:r>
      <w:r>
        <w:rPr>
          <w:rStyle w:val="FootnoteReference"/>
          <w:szCs w:val="20"/>
          <w:lang w:eastAsia="zh-CN"/>
        </w:rPr>
        <w:t>Text with EEA relevance</w:t>
      </w:r>
      <w:r>
        <w:rPr>
          <w:rStyle w:val="FootnoteReference"/>
          <w:szCs w:val="20"/>
          <w:lang w:val="en-GB" w:eastAsia="zh-CN"/>
        </w:rPr>
        <w:t xml:space="preserve">. Available on: </w:t>
      </w:r>
      <w:hyperlink r:id="rId25" w:history="1">
        <w:r>
          <w:rPr>
            <w:rStyle w:val="FootnoteReference"/>
            <w:szCs w:val="20"/>
            <w:lang w:val="en-GB" w:eastAsia="zh-CN"/>
          </w:rPr>
          <w:t>https://eur-lex.europa.eu/legal-content/EN/TXT/HTML/?uri=CELEX:32015L0849&amp;from=FR.</w:t>
        </w:r>
      </w:hyperlink>
      <w:r>
        <w:rPr>
          <w:rStyle w:val="FootnoteReference"/>
          <w:szCs w:val="20"/>
          <w:lang w:val="en-GB" w:eastAsia="zh-CN"/>
        </w:rPr>
        <w:t xml:space="preserve"> Accessed on March 27, 2021</w:t>
      </w:r>
    </w:p>
  </w:footnote>
  <w:footnote w:id="44">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eastAsia="zh-CN"/>
        </w:rPr>
        <w:t>Ibid</w:t>
      </w:r>
    </w:p>
  </w:footnote>
  <w:footnote w:id="45">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eastAsia="zh-CN"/>
        </w:rPr>
        <w:t>Ibid</w:t>
      </w:r>
    </w:p>
  </w:footnote>
  <w:footnote w:id="46">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eastAsia="zh-CN"/>
        </w:rPr>
        <w:t xml:space="preserve">Ibid </w:t>
      </w:r>
    </w:p>
  </w:footnote>
  <w:footnote w:id="47">
    <w:p w:rsidR="003540B4" w:rsidRDefault="008C0147">
      <w:pPr>
        <w:pStyle w:val="RGSLFootnotes"/>
        <w:rPr>
          <w:rStyle w:val="FootnoteReference"/>
          <w:szCs w:val="20"/>
          <w:lang w:val="en-GB"/>
        </w:rPr>
      </w:pPr>
      <w:r>
        <w:rPr>
          <w:rStyle w:val="FootnoteReference"/>
          <w:szCs w:val="20"/>
        </w:rPr>
        <w:footnoteRef/>
      </w:r>
      <w:r>
        <w:rPr>
          <w:rStyle w:val="FootnoteReference"/>
          <w:szCs w:val="20"/>
          <w:lang w:val="en-GB"/>
        </w:rPr>
        <w:t xml:space="preserve"> </w:t>
      </w:r>
      <w:r>
        <w:rPr>
          <w:rStyle w:val="FootnoteReference"/>
          <w:szCs w:val="20"/>
        </w:rPr>
        <w:t>David Ondráčka </w:t>
      </w:r>
      <w:r>
        <w:rPr>
          <w:rStyle w:val="FootnoteReference"/>
          <w:szCs w:val="20"/>
          <w:lang w:val="en-GB"/>
        </w:rPr>
        <w:t xml:space="preserve">and </w:t>
      </w:r>
      <w:r>
        <w:rPr>
          <w:rStyle w:val="FootnoteReference"/>
          <w:szCs w:val="20"/>
        </w:rPr>
        <w:t>Ondřej Vondráček</w:t>
      </w:r>
      <w:r>
        <w:rPr>
          <w:rStyle w:val="FootnoteReference"/>
          <w:szCs w:val="20"/>
          <w:lang w:val="en-GB"/>
        </w:rPr>
        <w:t>, “</w:t>
      </w:r>
      <w:r>
        <w:rPr>
          <w:rStyle w:val="FootnoteReference"/>
          <w:szCs w:val="20"/>
        </w:rPr>
        <w:t xml:space="preserve"> European Law Review</w:t>
      </w:r>
      <w:r>
        <w:rPr>
          <w:rStyle w:val="FootnoteReference"/>
          <w:szCs w:val="20"/>
          <w:lang w:val="en-GB"/>
        </w:rPr>
        <w:t xml:space="preserve">: </w:t>
      </w:r>
      <w:r>
        <w:rPr>
          <w:rStyle w:val="FootnoteReference"/>
          <w:szCs w:val="20"/>
        </w:rPr>
        <w:t>Ownership structures and beneficial ownership: registering</w:t>
      </w:r>
      <w:r>
        <w:rPr>
          <w:rStyle w:val="FootnoteReference"/>
          <w:szCs w:val="20"/>
          <w:lang w:val="en-GB"/>
        </w:rPr>
        <w:t xml:space="preserve"> </w:t>
      </w:r>
      <w:r>
        <w:rPr>
          <w:rStyle w:val="FootnoteReference"/>
          <w:szCs w:val="20"/>
        </w:rPr>
        <w:t>and investigating the unknown</w:t>
      </w:r>
      <w:r>
        <w:rPr>
          <w:rStyle w:val="FootnoteReference"/>
          <w:szCs w:val="20"/>
          <w:lang w:val="en-GB"/>
        </w:rPr>
        <w:t>” (</w:t>
      </w:r>
      <w:r>
        <w:rPr>
          <w:rStyle w:val="FootnoteReference"/>
          <w:szCs w:val="20"/>
        </w:rPr>
        <w:t>2019</w:t>
      </w:r>
      <w:r>
        <w:rPr>
          <w:rStyle w:val="FootnoteReference"/>
          <w:szCs w:val="20"/>
          <w:lang w:val="en-GB"/>
        </w:rPr>
        <w:t xml:space="preserve">), </w:t>
      </w:r>
      <w:r>
        <w:rPr>
          <w:rStyle w:val="FootnoteReference"/>
          <w:szCs w:val="20"/>
        </w:rPr>
        <w:t xml:space="preserve"> 2021 Sweet &amp; Maxwell and its Contributors</w:t>
      </w:r>
      <w:r>
        <w:rPr>
          <w:rStyle w:val="FootnoteReference"/>
          <w:szCs w:val="20"/>
          <w:lang w:val="en-GB"/>
        </w:rPr>
        <w:t xml:space="preserve"> </w:t>
      </w:r>
      <w:r>
        <w:rPr>
          <w:rStyle w:val="FootnoteReference"/>
          <w:szCs w:val="20"/>
          <w:lang w:val="en-GB"/>
        </w:rPr>
        <w:t xml:space="preserve">Available on : </w:t>
      </w:r>
      <w:r>
        <w:rPr>
          <w:rStyle w:val="FootnoteReference"/>
          <w:szCs w:val="20"/>
        </w:rPr>
        <w:t>https://1.next.westlaw.com/Document/IF02CA7A08E3511E99B808522AFECC67E/View/FullText.html?navigationPath=Search%2Fv1%2Fresults%2Fnavigation%2Fi0ad7403600000178a34f1835741705ac%3Fppcid%3D46e5438261b84eb58fb50ec3e8768263%26Nav%3DINTERNATIONAL-A</w:t>
      </w:r>
      <w:r>
        <w:rPr>
          <w:rStyle w:val="FootnoteReference"/>
          <w:szCs w:val="20"/>
        </w:rPr>
        <w:t>NALYTICAL%26navQualifier%3DI0363b1e0a09611e28578f7ccc38dcbee%26listQualifier%3DI0363b1e0a09611e28578f7ccc38dcbee%26fragmentIdentifier%3DIF02CA7A08E3511E99B808522AFECC67E%26parentRank%3D0%26startIndex%3D1%26contextData%3D%2528sc.Search%2529%26transitionType</w:t>
      </w:r>
      <w:r>
        <w:rPr>
          <w:rStyle w:val="FootnoteReference"/>
          <w:szCs w:val="20"/>
        </w:rPr>
        <w:t>%3DSearchItem&amp;listSource=Search&amp;listPageSource=511a4a3a6b697d8dc21d06a85266a787&amp;list=INTERNATIONAL-ANALYTICAL&amp;rank=1&amp;sessionScopeId=95ee8fa540446a3a559415bfc5854de20c63b8712ab6a7e87e227aeba4a11501&amp;ppcid=46e5438261b84eb58fb50ec3e8768263&amp;originationContext=S</w:t>
      </w:r>
      <w:r>
        <w:rPr>
          <w:rStyle w:val="FootnoteReference"/>
          <w:szCs w:val="20"/>
        </w:rPr>
        <w:t>earch%20Result&amp;transitionType=SearchItem&amp;contextData=%28sc.Search%29</w:t>
      </w:r>
      <w:r>
        <w:rPr>
          <w:rStyle w:val="FootnoteReference"/>
          <w:szCs w:val="20"/>
          <w:lang w:val="en-GB"/>
        </w:rPr>
        <w:t>. Accessed March 28, 2021.</w:t>
      </w:r>
    </w:p>
  </w:footnote>
  <w:footnote w:id="48">
    <w:p w:rsidR="003540B4" w:rsidRDefault="008C0147">
      <w:pPr>
        <w:pStyle w:val="RGSLFootnotes"/>
        <w:rPr>
          <w:rStyle w:val="FootnoteReference"/>
          <w:szCs w:val="20"/>
        </w:rPr>
      </w:pPr>
      <w:r>
        <w:rPr>
          <w:rStyle w:val="FootnoteReference"/>
          <w:szCs w:val="20"/>
        </w:rPr>
        <w:footnoteRef/>
      </w:r>
      <w:r>
        <w:rPr>
          <w:rStyle w:val="FootnoteReference"/>
          <w:szCs w:val="20"/>
        </w:rPr>
        <w:t xml:space="preserve"> Ondráčka </w:t>
      </w:r>
      <w:r>
        <w:rPr>
          <w:rStyle w:val="FootnoteReference"/>
          <w:szCs w:val="20"/>
          <w:lang w:val="en-GB"/>
        </w:rPr>
        <w:t xml:space="preserve">and </w:t>
      </w:r>
      <w:r>
        <w:rPr>
          <w:rStyle w:val="FootnoteReference"/>
          <w:szCs w:val="20"/>
        </w:rPr>
        <w:t>Vondráček</w:t>
      </w:r>
      <w:r>
        <w:rPr>
          <w:rStyle w:val="FootnoteReference"/>
          <w:szCs w:val="20"/>
          <w:lang w:val="en-GB"/>
        </w:rPr>
        <w:t xml:space="preserve">, </w:t>
      </w:r>
      <w:r>
        <w:rPr>
          <w:rStyle w:val="FootnoteReference"/>
          <w:i/>
          <w:iCs/>
          <w:szCs w:val="20"/>
          <w:lang w:val="en-GB"/>
        </w:rPr>
        <w:t xml:space="preserve">supra </w:t>
      </w:r>
      <w:r>
        <w:rPr>
          <w:rStyle w:val="FootnoteReference"/>
          <w:szCs w:val="20"/>
          <w:lang w:val="en-GB"/>
        </w:rPr>
        <w:t>note 41</w:t>
      </w:r>
    </w:p>
  </w:footnote>
  <w:footnote w:id="49">
    <w:p w:rsidR="003540B4" w:rsidRDefault="008C0147">
      <w:pPr>
        <w:pStyle w:val="RGSLFootnotes"/>
        <w:rPr>
          <w:rStyle w:val="FootnoteReference"/>
          <w:szCs w:val="20"/>
        </w:rPr>
      </w:pPr>
      <w:r>
        <w:rPr>
          <w:rStyle w:val="FootnoteReference"/>
          <w:szCs w:val="20"/>
        </w:rPr>
        <w:footnoteRef/>
      </w:r>
      <w:r>
        <w:rPr>
          <w:rStyle w:val="FootnoteReference"/>
          <w:szCs w:val="20"/>
        </w:rPr>
        <w:t xml:space="preserve"> Ondráčka </w:t>
      </w:r>
      <w:r>
        <w:rPr>
          <w:rStyle w:val="FootnoteReference"/>
          <w:szCs w:val="20"/>
          <w:lang w:val="en-GB"/>
        </w:rPr>
        <w:t xml:space="preserve">and </w:t>
      </w:r>
      <w:r>
        <w:rPr>
          <w:rStyle w:val="FootnoteReference"/>
          <w:szCs w:val="20"/>
        </w:rPr>
        <w:t>Vondráček</w:t>
      </w:r>
      <w:r>
        <w:rPr>
          <w:rStyle w:val="FootnoteReference"/>
          <w:szCs w:val="20"/>
          <w:lang w:val="en-GB"/>
        </w:rPr>
        <w:t xml:space="preserve">, </w:t>
      </w:r>
      <w:r>
        <w:rPr>
          <w:rStyle w:val="FootnoteReference"/>
          <w:i/>
          <w:iCs/>
          <w:szCs w:val="20"/>
          <w:lang w:val="en-GB"/>
        </w:rPr>
        <w:t xml:space="preserve">supra </w:t>
      </w:r>
      <w:r>
        <w:rPr>
          <w:rStyle w:val="FootnoteReference"/>
          <w:szCs w:val="20"/>
          <w:lang w:val="en-GB"/>
        </w:rPr>
        <w:t>note 41</w:t>
      </w:r>
      <w:r>
        <w:rPr>
          <w:szCs w:val="20"/>
          <w:lang w:val="en-GB"/>
        </w:rPr>
        <w:t xml:space="preserve"> </w:t>
      </w:r>
    </w:p>
  </w:footnote>
  <w:footnote w:id="50">
    <w:p w:rsidR="003540B4" w:rsidRDefault="008C0147">
      <w:pPr>
        <w:pStyle w:val="RGSLFootnotes"/>
        <w:rPr>
          <w:rStyle w:val="FootnoteReference"/>
          <w:szCs w:val="20"/>
        </w:rPr>
      </w:pPr>
      <w:r>
        <w:rPr>
          <w:rStyle w:val="FootnoteReference"/>
          <w:szCs w:val="20"/>
        </w:rPr>
        <w:footnoteRef/>
      </w:r>
      <w:r>
        <w:rPr>
          <w:rStyle w:val="FootnoteReference"/>
          <w:szCs w:val="20"/>
        </w:rPr>
        <w:t xml:space="preserve"> Ondráčka </w:t>
      </w:r>
      <w:r>
        <w:rPr>
          <w:rStyle w:val="FootnoteReference"/>
          <w:szCs w:val="20"/>
          <w:lang w:val="en-GB"/>
        </w:rPr>
        <w:t xml:space="preserve">and </w:t>
      </w:r>
      <w:r>
        <w:rPr>
          <w:rStyle w:val="FootnoteReference"/>
          <w:szCs w:val="20"/>
        </w:rPr>
        <w:t>Vondráček</w:t>
      </w:r>
      <w:r>
        <w:rPr>
          <w:rStyle w:val="FootnoteReference"/>
          <w:szCs w:val="20"/>
          <w:lang w:val="en-GB"/>
        </w:rPr>
        <w:t xml:space="preserve">, </w:t>
      </w:r>
      <w:r>
        <w:rPr>
          <w:rStyle w:val="FootnoteReference"/>
          <w:i/>
          <w:iCs/>
          <w:szCs w:val="20"/>
          <w:lang w:val="en-GB"/>
        </w:rPr>
        <w:t xml:space="preserve">supra </w:t>
      </w:r>
      <w:r>
        <w:rPr>
          <w:rStyle w:val="FootnoteReference"/>
          <w:szCs w:val="20"/>
          <w:lang w:val="en-GB"/>
        </w:rPr>
        <w:t>note 41</w:t>
      </w:r>
      <w:r>
        <w:rPr>
          <w:szCs w:val="20"/>
          <w:lang w:val="en-GB"/>
        </w:rPr>
        <w:t xml:space="preserve"> </w:t>
      </w:r>
    </w:p>
  </w:footnote>
  <w:footnote w:id="51">
    <w:p w:rsidR="003540B4" w:rsidRDefault="008C0147">
      <w:pPr>
        <w:pStyle w:val="RGSLFootnotes"/>
        <w:rPr>
          <w:rStyle w:val="FootnoteReference"/>
          <w:szCs w:val="20"/>
        </w:rPr>
      </w:pPr>
      <w:r>
        <w:rPr>
          <w:rStyle w:val="FootnoteReference"/>
          <w:szCs w:val="20"/>
        </w:rPr>
        <w:footnoteRef/>
      </w:r>
      <w:r>
        <w:rPr>
          <w:rStyle w:val="FootnoteReference"/>
          <w:szCs w:val="20"/>
        </w:rPr>
        <w:t xml:space="preserve"> Ondráčka </w:t>
      </w:r>
      <w:r>
        <w:rPr>
          <w:rStyle w:val="FootnoteReference"/>
          <w:szCs w:val="20"/>
          <w:lang w:val="en-GB"/>
        </w:rPr>
        <w:t xml:space="preserve">and </w:t>
      </w:r>
      <w:r>
        <w:rPr>
          <w:rStyle w:val="FootnoteReference"/>
          <w:szCs w:val="20"/>
        </w:rPr>
        <w:t>Vondráček</w:t>
      </w:r>
      <w:r>
        <w:rPr>
          <w:rStyle w:val="FootnoteReference"/>
          <w:szCs w:val="20"/>
          <w:lang w:val="en-GB"/>
        </w:rPr>
        <w:t xml:space="preserve">, </w:t>
      </w:r>
      <w:r>
        <w:rPr>
          <w:rStyle w:val="FootnoteReference"/>
          <w:i/>
          <w:iCs/>
          <w:szCs w:val="20"/>
          <w:lang w:val="en-GB"/>
        </w:rPr>
        <w:t xml:space="preserve">supra </w:t>
      </w:r>
      <w:r>
        <w:rPr>
          <w:rStyle w:val="FootnoteReference"/>
          <w:szCs w:val="20"/>
          <w:lang w:val="en-GB"/>
        </w:rPr>
        <w:t>note 41</w:t>
      </w:r>
    </w:p>
  </w:footnote>
  <w:footnote w:id="52">
    <w:p w:rsidR="003540B4" w:rsidRDefault="008C0147">
      <w:pPr>
        <w:pStyle w:val="RGSLFootnotes"/>
        <w:rPr>
          <w:rStyle w:val="FootnoteReference"/>
          <w:szCs w:val="20"/>
        </w:rPr>
      </w:pPr>
      <w:r>
        <w:rPr>
          <w:rStyle w:val="FootnoteReference"/>
          <w:szCs w:val="20"/>
        </w:rPr>
        <w:footnoteRef/>
      </w:r>
      <w:r>
        <w:rPr>
          <w:rStyle w:val="FootnoteReference"/>
          <w:szCs w:val="20"/>
        </w:rPr>
        <w:t xml:space="preserve"> Ondráčka </w:t>
      </w:r>
      <w:r>
        <w:rPr>
          <w:rStyle w:val="FootnoteReference"/>
          <w:szCs w:val="20"/>
          <w:lang w:val="en-GB"/>
        </w:rPr>
        <w:t xml:space="preserve">and </w:t>
      </w:r>
      <w:r>
        <w:rPr>
          <w:rStyle w:val="FootnoteReference"/>
          <w:szCs w:val="20"/>
        </w:rPr>
        <w:t>Vondráček</w:t>
      </w:r>
      <w:r>
        <w:rPr>
          <w:rStyle w:val="FootnoteReference"/>
          <w:szCs w:val="20"/>
          <w:lang w:val="en-GB"/>
        </w:rPr>
        <w:t xml:space="preserve">, </w:t>
      </w:r>
      <w:r>
        <w:rPr>
          <w:rStyle w:val="FootnoteReference"/>
          <w:i/>
          <w:iCs/>
          <w:szCs w:val="20"/>
          <w:lang w:val="en-GB"/>
        </w:rPr>
        <w:t xml:space="preserve">supra </w:t>
      </w:r>
      <w:r>
        <w:rPr>
          <w:rStyle w:val="FootnoteReference"/>
          <w:szCs w:val="20"/>
          <w:lang w:val="en-GB"/>
        </w:rPr>
        <w:t>note 41</w:t>
      </w:r>
      <w:r>
        <w:rPr>
          <w:szCs w:val="20"/>
          <w:lang w:val="en-GB"/>
        </w:rPr>
        <w:t xml:space="preserve"> </w:t>
      </w:r>
    </w:p>
  </w:footnote>
  <w:footnote w:id="53">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Directive (EU) 2018/843 of the European Parliament and of the Council of 30 May 2018 amending Directive (EU) 2015/849 on the prevention of the use of the financial system for the purposes of money laundering or t</w:t>
      </w:r>
      <w:r>
        <w:rPr>
          <w:rStyle w:val="FootnoteReference"/>
          <w:szCs w:val="20"/>
        </w:rPr>
        <w:t>errorist financing, and amending Directives 2009/138/EC and 2013/36/EU (Text with EEA relevance)</w:t>
      </w:r>
      <w:r>
        <w:rPr>
          <w:rStyle w:val="FootnoteReference"/>
          <w:szCs w:val="20"/>
          <w:lang w:val="en-GB"/>
        </w:rPr>
        <w:t xml:space="preserve">, OJ L 156. Available on: </w:t>
      </w:r>
      <w:hyperlink r:id="rId26" w:history="1">
        <w:r>
          <w:rPr>
            <w:rStyle w:val="FootnoteReference"/>
            <w:szCs w:val="20"/>
            <w:lang w:val="en-GB"/>
          </w:rPr>
          <w:t>h</w:t>
        </w:r>
        <w:r>
          <w:rPr>
            <w:rStyle w:val="FootnoteReference"/>
            <w:szCs w:val="20"/>
          </w:rPr>
          <w:t>ttps://eur-lex.europa.eu/legal-content/EN/TXT/?u</w:t>
        </w:r>
        <w:r>
          <w:rPr>
            <w:rStyle w:val="FootnoteReference"/>
            <w:szCs w:val="20"/>
          </w:rPr>
          <w:t>ri=CELEX%3A32018L0843</w:t>
        </w:r>
        <w:r>
          <w:rPr>
            <w:rStyle w:val="FootnoteReference"/>
            <w:szCs w:val="20"/>
            <w:lang w:val="en-GB"/>
          </w:rPr>
          <w:t>.</w:t>
        </w:r>
      </w:hyperlink>
      <w:r>
        <w:rPr>
          <w:rStyle w:val="FootnoteReference"/>
          <w:szCs w:val="20"/>
          <w:lang w:val="en-GB"/>
        </w:rPr>
        <w:t xml:space="preserve"> Accessed March 30, 2021</w:t>
      </w:r>
    </w:p>
  </w:footnote>
  <w:footnote w:id="54">
    <w:p w:rsidR="003540B4" w:rsidRDefault="008C0147">
      <w:pPr>
        <w:pStyle w:val="RGSLFootnotes"/>
        <w:rPr>
          <w:rStyle w:val="FootnoteReference"/>
          <w:szCs w:val="20"/>
        </w:rPr>
      </w:pPr>
      <w:r>
        <w:rPr>
          <w:rStyle w:val="FootnoteReference"/>
          <w:szCs w:val="20"/>
        </w:rPr>
        <w:footnoteRef/>
      </w:r>
      <w:r>
        <w:rPr>
          <w:rStyle w:val="FootnoteReference"/>
          <w:szCs w:val="20"/>
        </w:rPr>
        <w:t xml:space="preserve"> Directive (EU) 2018/843 of the European Parliament and of the Council of 30 May 2018 amending Directive (EU) 2015/849 on the prevention of the use of the financial system for the purposes of money launder</w:t>
      </w:r>
      <w:r>
        <w:rPr>
          <w:rStyle w:val="FootnoteReference"/>
          <w:szCs w:val="20"/>
        </w:rPr>
        <w:t>ing or terrorist financing, and amending Directives 2009/138/EC and 2013/36/EU (Text with EEA relevance)</w:t>
      </w:r>
      <w:r>
        <w:rPr>
          <w:rStyle w:val="FootnoteReference"/>
          <w:szCs w:val="20"/>
          <w:lang w:val="en-GB"/>
        </w:rPr>
        <w:t xml:space="preserve">, OJ L 156. Available on: </w:t>
      </w:r>
      <w:hyperlink r:id="rId27" w:history="1">
        <w:r>
          <w:rPr>
            <w:rStyle w:val="FootnoteReference"/>
            <w:szCs w:val="20"/>
            <w:lang w:val="en-GB"/>
          </w:rPr>
          <w:t>h</w:t>
        </w:r>
        <w:r>
          <w:rPr>
            <w:rStyle w:val="FootnoteReference"/>
            <w:szCs w:val="20"/>
          </w:rPr>
          <w:t>ttps://eur-lex.europa.eu/legal-content/E</w:t>
        </w:r>
        <w:r>
          <w:rPr>
            <w:rStyle w:val="FootnoteReference"/>
            <w:szCs w:val="20"/>
          </w:rPr>
          <w:t>N/TXT/?uri=CELEX%3A32018L0843</w:t>
        </w:r>
        <w:r>
          <w:rPr>
            <w:rStyle w:val="FootnoteReference"/>
            <w:szCs w:val="20"/>
            <w:lang w:val="en-GB"/>
          </w:rPr>
          <w:t>.</w:t>
        </w:r>
      </w:hyperlink>
      <w:r>
        <w:rPr>
          <w:rStyle w:val="FootnoteReference"/>
          <w:szCs w:val="20"/>
          <w:lang w:val="en-GB"/>
        </w:rPr>
        <w:t xml:space="preserve"> Accessed March 30, 2021</w:t>
      </w:r>
    </w:p>
  </w:footnote>
  <w:footnote w:id="55">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Library of Congress. Global Legal Monitoring. European Union: 5th Anti-Money LAundering Directive Enters into Force by Jenny Gesley. July 16, 2018. Available on: </w:t>
      </w:r>
      <w:hyperlink r:id="rId28" w:history="1">
        <w:r>
          <w:rPr>
            <w:rStyle w:val="FootnoteReference"/>
            <w:szCs w:val="20"/>
          </w:rPr>
          <w:t>https://www.loc.gov/law/foreign-news/article/european-union-5th-anti-money-laundering-directive-enters-into-force/</w:t>
        </w:r>
        <w:r>
          <w:rPr>
            <w:rStyle w:val="FootnoteReference"/>
            <w:szCs w:val="20"/>
            <w:lang w:val="en-GB"/>
          </w:rPr>
          <w:t>.</w:t>
        </w:r>
      </w:hyperlink>
      <w:r>
        <w:rPr>
          <w:rStyle w:val="FootnoteReference"/>
          <w:szCs w:val="20"/>
          <w:lang w:val="en-GB"/>
        </w:rPr>
        <w:t xml:space="preserve"> Accessed March 30, 2021. </w:t>
      </w:r>
    </w:p>
  </w:footnote>
  <w:footnote w:id="56">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Library of Con</w:t>
      </w:r>
      <w:r>
        <w:rPr>
          <w:rStyle w:val="FootnoteReference"/>
          <w:szCs w:val="20"/>
          <w:lang w:val="en-GB"/>
        </w:rPr>
        <w:t xml:space="preserve">gress. Global Legal Monitoring. European Union: 5th Anti-Money LAundering Directive Enters into Force by Jenny Gesley. July 16, 2018. Available on: </w:t>
      </w:r>
      <w:hyperlink r:id="rId29" w:history="1">
        <w:r>
          <w:rPr>
            <w:rStyle w:val="FootnoteReference"/>
            <w:szCs w:val="20"/>
          </w:rPr>
          <w:t>https://www.loc.gov/law/foreign-news/article/european-union-5th-anti-money-laundering-directive-enters-into-force/</w:t>
        </w:r>
        <w:r>
          <w:rPr>
            <w:rStyle w:val="FootnoteReference"/>
            <w:szCs w:val="20"/>
            <w:lang w:val="en-GB"/>
          </w:rPr>
          <w:t>.</w:t>
        </w:r>
      </w:hyperlink>
      <w:r>
        <w:rPr>
          <w:rStyle w:val="FootnoteReference"/>
          <w:szCs w:val="20"/>
          <w:lang w:val="en-GB"/>
        </w:rPr>
        <w:t xml:space="preserve"> Accessed March 30, 2021. </w:t>
      </w:r>
    </w:p>
  </w:footnote>
  <w:footnote w:id="57">
    <w:p w:rsidR="003540B4" w:rsidRDefault="008C0147">
      <w:pPr>
        <w:pStyle w:val="RGSLFootnotes"/>
        <w:rPr>
          <w:rStyle w:val="FootnoteReference"/>
          <w:szCs w:val="20"/>
          <w:lang w:val="lv-LV"/>
        </w:rPr>
      </w:pPr>
      <w:r>
        <w:rPr>
          <w:rStyle w:val="FootnoteReference"/>
          <w:szCs w:val="20"/>
        </w:rPr>
        <w:footnoteRef/>
      </w:r>
      <w:r>
        <w:rPr>
          <w:rStyle w:val="FootnoteReference"/>
          <w:szCs w:val="20"/>
        </w:rPr>
        <w:t xml:space="preserve"> </w:t>
      </w:r>
      <w:r>
        <w:rPr>
          <w:rStyle w:val="FootnoteReference"/>
          <w:sz w:val="21"/>
          <w:szCs w:val="20"/>
          <w:lang w:val="lv-LV"/>
        </w:rPr>
        <w:t>Council of Europe Portal</w:t>
      </w:r>
      <w:r>
        <w:rPr>
          <w:sz w:val="21"/>
          <w:szCs w:val="20"/>
          <w:lang w:val="en-GB"/>
        </w:rPr>
        <w:t xml:space="preserve"> </w:t>
      </w:r>
      <w:r>
        <w:rPr>
          <w:rStyle w:val="FootnoteReference"/>
          <w:sz w:val="21"/>
          <w:szCs w:val="20"/>
          <w:lang w:val="lv-LV"/>
        </w:rPr>
        <w:t xml:space="preserve">Committee of Experts on the Evaluation of Anti-Money Laundering Measures and the Financing of Terrorism. Available on: </w:t>
      </w:r>
      <w:hyperlink r:id="rId30" w:history="1">
        <w:r>
          <w:rPr>
            <w:rStyle w:val="FootnoteReference"/>
            <w:sz w:val="21"/>
            <w:szCs w:val="20"/>
            <w:lang w:val="lv-LV"/>
          </w:rPr>
          <w:t>h</w:t>
        </w:r>
        <w:r>
          <w:rPr>
            <w:rStyle w:val="FootnoteReference"/>
            <w:sz w:val="21"/>
            <w:szCs w:val="20"/>
            <w:lang w:val="en-GB"/>
          </w:rPr>
          <w:t>ttps://www.coe.int/en/web/moneyval</w:t>
        </w:r>
        <w:r>
          <w:rPr>
            <w:rStyle w:val="FootnoteReference"/>
            <w:sz w:val="21"/>
            <w:szCs w:val="20"/>
            <w:lang w:val="lv-LV"/>
          </w:rPr>
          <w:t>.</w:t>
        </w:r>
      </w:hyperlink>
      <w:r>
        <w:rPr>
          <w:rStyle w:val="FootnoteReference"/>
          <w:sz w:val="21"/>
          <w:szCs w:val="20"/>
          <w:lang w:val="lv-LV"/>
        </w:rPr>
        <w:t xml:space="preserve"> Accessed M</w:t>
      </w:r>
      <w:r>
        <w:rPr>
          <w:rStyle w:val="FootnoteReference"/>
          <w:sz w:val="21"/>
          <w:szCs w:val="20"/>
          <w:lang w:val="en-GB"/>
        </w:rPr>
        <w:t>a</w:t>
      </w:r>
      <w:r>
        <w:rPr>
          <w:rStyle w:val="FootnoteReference"/>
          <w:sz w:val="21"/>
          <w:szCs w:val="20"/>
          <w:lang w:val="lv-LV"/>
        </w:rPr>
        <w:t>rch 30, 2021</w:t>
      </w:r>
    </w:p>
  </w:footnote>
  <w:footnote w:id="58">
    <w:p w:rsidR="003540B4" w:rsidRDefault="008C0147">
      <w:pPr>
        <w:pStyle w:val="RGSLFootnotes"/>
        <w:rPr>
          <w:rStyle w:val="FootnoteReference"/>
          <w:szCs w:val="20"/>
          <w:lang w:val="lv-LV"/>
        </w:rPr>
      </w:pPr>
      <w:r>
        <w:rPr>
          <w:rStyle w:val="FootnoteReference"/>
          <w:szCs w:val="20"/>
        </w:rPr>
        <w:footnoteRef/>
      </w:r>
      <w:r>
        <w:rPr>
          <w:rStyle w:val="FootnoteReference"/>
          <w:szCs w:val="20"/>
        </w:rPr>
        <w:t xml:space="preserve"> </w:t>
      </w:r>
      <w:r>
        <w:rPr>
          <w:rStyle w:val="FootnoteReference"/>
          <w:sz w:val="21"/>
          <w:szCs w:val="20"/>
          <w:lang w:val="en-GB"/>
        </w:rPr>
        <w:t xml:space="preserve">COMMITTEE OF EXPERTS </w:t>
      </w:r>
      <w:r>
        <w:rPr>
          <w:rStyle w:val="FootnoteReference"/>
          <w:sz w:val="21"/>
          <w:szCs w:val="20"/>
          <w:lang w:val="en-GB"/>
        </w:rPr>
        <w:t>ON THE EVALUATION OF ANTI-MONEY LAUNDERING MEASURES AND THE FINANCING OF TERRORISM (MONEYVAL</w:t>
      </w:r>
      <w:r>
        <w:rPr>
          <w:rStyle w:val="FootnoteReference"/>
          <w:sz w:val="21"/>
          <w:szCs w:val="20"/>
          <w:lang w:val="lv-LV"/>
        </w:rPr>
        <w:t xml:space="preserve">. </w:t>
      </w:r>
      <w:r>
        <w:rPr>
          <w:rStyle w:val="FootnoteReference"/>
          <w:i/>
          <w:iCs/>
          <w:sz w:val="21"/>
          <w:szCs w:val="20"/>
          <w:lang w:val="en-GB"/>
        </w:rPr>
        <w:t>Anti-money laundering and counter-terrorist financing measures Latvi</w:t>
      </w:r>
      <w:r>
        <w:rPr>
          <w:rStyle w:val="FootnoteReference"/>
          <w:sz w:val="21"/>
          <w:szCs w:val="20"/>
          <w:lang w:val="en-GB"/>
        </w:rPr>
        <w:t>a</w:t>
      </w:r>
      <w:r>
        <w:rPr>
          <w:rStyle w:val="FootnoteReference"/>
          <w:sz w:val="21"/>
          <w:szCs w:val="20"/>
          <w:lang w:val="lv-LV"/>
        </w:rPr>
        <w:t>, Available on:</w:t>
      </w:r>
      <w:r>
        <w:rPr>
          <w:rStyle w:val="FootnoteReference"/>
          <w:sz w:val="21"/>
          <w:szCs w:val="20"/>
          <w:lang w:val="en-GB"/>
        </w:rPr>
        <w:t xml:space="preserve">  </w:t>
      </w:r>
      <w:hyperlink r:id="rId31" w:history="1">
        <w:r>
          <w:rPr>
            <w:rStyle w:val="FootnoteReference"/>
            <w:sz w:val="21"/>
            <w:szCs w:val="20"/>
            <w:lang w:val="en-GB"/>
          </w:rPr>
          <w:t>https://rm.coe.int/anti-money-laundering-and-counter-terrorist-financing-measures-latvia-/16809988c1</w:t>
        </w:r>
        <w:r>
          <w:rPr>
            <w:rStyle w:val="FootnoteReference"/>
            <w:sz w:val="21"/>
            <w:szCs w:val="20"/>
            <w:lang w:val="lv-LV"/>
          </w:rPr>
          <w:t>.</w:t>
        </w:r>
      </w:hyperlink>
      <w:r>
        <w:rPr>
          <w:rStyle w:val="FootnoteReference"/>
          <w:sz w:val="21"/>
          <w:szCs w:val="20"/>
          <w:lang w:val="lv-LV"/>
        </w:rPr>
        <w:t xml:space="preserve"> Accessed April 1, 2021</w:t>
      </w:r>
    </w:p>
    <w:p w:rsidR="003540B4" w:rsidRDefault="008C0147">
      <w:pPr>
        <w:pStyle w:val="RGSLFootnotes"/>
        <w:rPr>
          <w:rStyle w:val="FootnoteReference"/>
          <w:szCs w:val="20"/>
        </w:rPr>
      </w:pPr>
      <w:r>
        <w:rPr>
          <w:rStyle w:val="FootnoteReference"/>
          <w:szCs w:val="20"/>
        </w:rPr>
        <w:t>t/anti-money-laundering-and-counter-terrorist-financing-measures-latvia-/16809988c1</w:t>
      </w:r>
    </w:p>
  </w:footnote>
  <w:footnote w:id="59">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 w:val="21"/>
          <w:szCs w:val="20"/>
          <w:lang w:val="en-GB"/>
        </w:rPr>
        <w:t>Ibi</w:t>
      </w:r>
      <w:r>
        <w:rPr>
          <w:rStyle w:val="FootnoteReference"/>
          <w:sz w:val="21"/>
          <w:szCs w:val="20"/>
          <w:lang w:val="en-GB"/>
        </w:rPr>
        <w:t xml:space="preserve">d </w:t>
      </w:r>
    </w:p>
  </w:footnote>
  <w:footnote w:id="60">
    <w:p w:rsidR="003540B4" w:rsidRDefault="008C0147">
      <w:pPr>
        <w:pStyle w:val="RGSLFootnotes"/>
        <w:rPr>
          <w:rStyle w:val="FootnoteReference"/>
          <w:szCs w:val="20"/>
          <w:lang w:val="lv-LV"/>
        </w:rPr>
      </w:pPr>
      <w:r>
        <w:rPr>
          <w:rStyle w:val="FootnoteReference"/>
          <w:szCs w:val="20"/>
        </w:rPr>
        <w:footnoteRef/>
      </w:r>
      <w:r>
        <w:rPr>
          <w:szCs w:val="20"/>
          <w:lang w:val="lv-LV"/>
        </w:rPr>
        <w:t xml:space="preserve"> </w:t>
      </w:r>
      <w:r>
        <w:rPr>
          <w:rStyle w:val="FootnoteReference"/>
          <w:sz w:val="21"/>
          <w:szCs w:val="20"/>
          <w:lang w:val="en-GB"/>
        </w:rPr>
        <w:t>COMMITTEE OF EXPERTS ON THE EVALUATION OF ANTI-MONEY LAUNDERING MEASURES AND THE FINANCING OF TERRORISM (MONEYVAL</w:t>
      </w:r>
      <w:r>
        <w:rPr>
          <w:rStyle w:val="FootnoteReference"/>
          <w:sz w:val="21"/>
          <w:szCs w:val="20"/>
          <w:lang w:val="lv-LV"/>
        </w:rPr>
        <w:t xml:space="preserve">. </w:t>
      </w:r>
      <w:r>
        <w:rPr>
          <w:rStyle w:val="FootnoteReference"/>
          <w:i/>
          <w:iCs/>
          <w:sz w:val="21"/>
          <w:szCs w:val="20"/>
          <w:lang w:val="en-GB"/>
        </w:rPr>
        <w:t>Anti-money laundering and counter-terrorist financing measures Latvi</w:t>
      </w:r>
      <w:r>
        <w:rPr>
          <w:rStyle w:val="FootnoteReference"/>
          <w:sz w:val="21"/>
          <w:szCs w:val="20"/>
          <w:lang w:val="en-GB"/>
        </w:rPr>
        <w:t>a</w:t>
      </w:r>
      <w:r>
        <w:rPr>
          <w:rStyle w:val="FootnoteReference"/>
          <w:sz w:val="21"/>
          <w:szCs w:val="20"/>
          <w:lang w:val="lv-LV"/>
        </w:rPr>
        <w:t>, Available on:</w:t>
      </w:r>
      <w:r>
        <w:rPr>
          <w:rStyle w:val="FootnoteReference"/>
          <w:sz w:val="21"/>
          <w:szCs w:val="20"/>
          <w:lang w:val="en-GB"/>
        </w:rPr>
        <w:t xml:space="preserve">  </w:t>
      </w:r>
      <w:hyperlink r:id="rId32" w:history="1">
        <w:r>
          <w:rPr>
            <w:rStyle w:val="FootnoteReference"/>
            <w:sz w:val="21"/>
            <w:szCs w:val="20"/>
            <w:lang w:val="en-GB"/>
          </w:rPr>
          <w:t>https://rm.coe.int/anti-money-laundering-and-counter-terrorist-financing-measures-latvia-/16809988c1</w:t>
        </w:r>
        <w:r>
          <w:rPr>
            <w:rStyle w:val="FootnoteReference"/>
            <w:sz w:val="21"/>
            <w:szCs w:val="20"/>
            <w:lang w:val="lv-LV"/>
          </w:rPr>
          <w:t>.</w:t>
        </w:r>
      </w:hyperlink>
      <w:r>
        <w:rPr>
          <w:rStyle w:val="FootnoteReference"/>
          <w:sz w:val="21"/>
          <w:szCs w:val="20"/>
          <w:lang w:val="lv-LV"/>
        </w:rPr>
        <w:t xml:space="preserve"> Accessed April 1, 2021</w:t>
      </w:r>
    </w:p>
  </w:footnote>
  <w:footnote w:id="61">
    <w:p w:rsidR="003540B4" w:rsidRDefault="008C0147">
      <w:pPr>
        <w:pStyle w:val="RGSLFootnotes"/>
        <w:rPr>
          <w:rStyle w:val="FootnoteReference"/>
          <w:szCs w:val="20"/>
        </w:rPr>
      </w:pPr>
      <w:r>
        <w:rPr>
          <w:rStyle w:val="FootnoteReference"/>
          <w:szCs w:val="20"/>
        </w:rPr>
        <w:footnoteRef/>
      </w:r>
      <w:r>
        <w:rPr>
          <w:rStyle w:val="FootnoteReference"/>
          <w:szCs w:val="20"/>
          <w:lang w:val="en-GB"/>
        </w:rPr>
        <w:t xml:space="preserve"> Law on the Prevention of Money Laundering and Terrorism and Proliferation Financing (  Noziedzīgi iegūtu līdzekļu legalizācijas un terorisma un proliferācijas finansēšanas novēršanas likums) (</w:t>
      </w:r>
      <w:hyperlink r:id="rId33">
        <w:r>
          <w:rPr>
            <w:rStyle w:val="FootnoteReference"/>
            <w:szCs w:val="20"/>
            <w:lang w:val="en-GB"/>
          </w:rPr>
          <w:t>13 August 2008)</w:t>
        </w:r>
      </w:hyperlink>
      <w:r>
        <w:rPr>
          <w:rStyle w:val="FootnoteReference"/>
          <w:szCs w:val="20"/>
          <w:lang w:val="en-GB"/>
        </w:rPr>
        <w:t xml:space="preserve">. Available at </w:t>
      </w:r>
      <w:hyperlink r:id="rId34" w:history="1">
        <w:r>
          <w:rPr>
            <w:rStyle w:val="FootnoteReference"/>
            <w:szCs w:val="20"/>
            <w:lang w:val="en-GB"/>
          </w:rPr>
          <w:t>https://likumi.lv/ta/en/en/id/178987-law-on-the-prevention-of-money-laundering-a</w:t>
        </w:r>
        <w:r>
          <w:rPr>
            <w:rStyle w:val="FootnoteReference"/>
            <w:szCs w:val="20"/>
            <w:lang w:val="en-GB"/>
          </w:rPr>
          <w:t>nd-terrorism-and-proliferation-financing.</w:t>
        </w:r>
      </w:hyperlink>
      <w:r>
        <w:rPr>
          <w:rStyle w:val="FootnoteReference"/>
          <w:szCs w:val="20"/>
          <w:lang w:val="en-GB"/>
        </w:rPr>
        <w:t xml:space="preserve"> Accessed March 30, 2021</w:t>
      </w:r>
    </w:p>
  </w:footnote>
  <w:footnote w:id="62">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i/>
          <w:iCs/>
          <w:sz w:val="21"/>
          <w:szCs w:val="20"/>
          <w:lang w:val="en-GB"/>
        </w:rPr>
        <w:t>Ibid</w:t>
      </w:r>
    </w:p>
  </w:footnote>
  <w:footnote w:id="63">
    <w:p w:rsidR="003540B4" w:rsidRDefault="008C0147">
      <w:pPr>
        <w:pStyle w:val="RGSLFootnotes"/>
        <w:rPr>
          <w:rStyle w:val="FootnoteReference"/>
          <w:szCs w:val="20"/>
          <w:lang w:val="en-GB"/>
        </w:rPr>
      </w:pPr>
      <w:r>
        <w:rPr>
          <w:rStyle w:val="FootnoteReference"/>
          <w:szCs w:val="20"/>
        </w:rPr>
        <w:footnoteRef/>
      </w:r>
      <w:r>
        <w:rPr>
          <w:rStyle w:val="FootnoteReference"/>
          <w:szCs w:val="20"/>
          <w:lang w:val="en-GB"/>
        </w:rPr>
        <w:t xml:space="preserve"> Finance and Capital Market Comission. </w:t>
      </w:r>
      <w:r>
        <w:rPr>
          <w:rStyle w:val="FootnoteReference"/>
          <w:szCs w:val="20"/>
        </w:rPr>
        <w:t>Kredītiestāžu klientu – biedrību – patieso labuma guvē ju noskaidrošana</w:t>
      </w:r>
      <w:r>
        <w:rPr>
          <w:rStyle w:val="FootnoteReference"/>
          <w:szCs w:val="20"/>
          <w:lang w:val="en-GB"/>
        </w:rPr>
        <w:t xml:space="preserve">. Available at: </w:t>
      </w:r>
      <w:hyperlink r:id="rId35" w:history="1">
        <w:r>
          <w:rPr>
            <w:rStyle w:val="FootnoteReference"/>
            <w:szCs w:val="20"/>
          </w:rPr>
          <w:t>https://www.fktk.lv/wp-content/uploads/2021/01/08.01.01.-_33_PLG_NVO.pdf</w:t>
        </w:r>
        <w:r>
          <w:rPr>
            <w:rStyle w:val="FootnoteReference"/>
            <w:szCs w:val="20"/>
            <w:lang w:val="en-GB"/>
          </w:rPr>
          <w:t>.</w:t>
        </w:r>
      </w:hyperlink>
      <w:r>
        <w:rPr>
          <w:rStyle w:val="FootnoteReference"/>
          <w:szCs w:val="20"/>
          <w:lang w:val="en-GB"/>
        </w:rPr>
        <w:t xml:space="preserve"> Accessed April 5, 2021</w:t>
      </w:r>
    </w:p>
  </w:footnote>
  <w:footnote w:id="64">
    <w:p w:rsidR="003540B4" w:rsidRDefault="008C0147">
      <w:pPr>
        <w:pStyle w:val="RGSLFootnotes"/>
        <w:rPr>
          <w:rStyle w:val="FootnoteReference"/>
          <w:sz w:val="21"/>
          <w:szCs w:val="20"/>
          <w:lang w:val="lv-LV"/>
        </w:rPr>
      </w:pPr>
      <w:r>
        <w:rPr>
          <w:rStyle w:val="FootnoteReference"/>
          <w:szCs w:val="20"/>
        </w:rPr>
        <w:footnoteRef/>
      </w:r>
      <w:r>
        <w:rPr>
          <w:rStyle w:val="FootnoteReference"/>
          <w:szCs w:val="20"/>
        </w:rPr>
        <w:t xml:space="preserve"> </w:t>
      </w:r>
      <w:r>
        <w:rPr>
          <w:rStyle w:val="FootnoteReference"/>
          <w:szCs w:val="20"/>
          <w:lang w:val="en-GB"/>
        </w:rPr>
        <w:t>Latvijas Invest</w:t>
      </w:r>
      <w:r>
        <w:rPr>
          <w:rStyle w:val="FootnoteReference"/>
          <w:szCs w:val="20"/>
          <w:lang w:val="lv-LV"/>
        </w:rPr>
        <w:t>ī</w:t>
      </w:r>
      <w:r>
        <w:rPr>
          <w:rStyle w:val="FootnoteReference"/>
          <w:szCs w:val="20"/>
          <w:lang w:val="en-GB"/>
        </w:rPr>
        <w:t xml:space="preserve">ciju un </w:t>
      </w:r>
      <w:r>
        <w:rPr>
          <w:rStyle w:val="FootnoteReference"/>
          <w:sz w:val="21"/>
          <w:szCs w:val="20"/>
          <w:lang w:val="lv-LV"/>
        </w:rPr>
        <w:t>Attistības Aģentūra ( Investment and Development Agency of Latvia.) Sainiecisko darbību klasifik</w:t>
      </w:r>
      <w:r>
        <w:rPr>
          <w:rStyle w:val="FootnoteReference"/>
          <w:sz w:val="21"/>
          <w:szCs w:val="20"/>
          <w:lang w:val="lv-LV"/>
        </w:rPr>
        <w:t xml:space="preserve">ācija NACE 2. red . Available ( in Latvian) on: </w:t>
      </w:r>
      <w:hyperlink r:id="rId36" w:history="1">
        <w:r>
          <w:rPr>
            <w:rStyle w:val="FootnoteReference"/>
            <w:sz w:val="21"/>
            <w:szCs w:val="20"/>
            <w:lang w:val="en-GB"/>
          </w:rPr>
          <w:t>https://www.liaa.gov.lv/lv/programmas/noderigi/klasifikacija-nace-2-red</w:t>
        </w:r>
        <w:r>
          <w:rPr>
            <w:rStyle w:val="FootnoteReference"/>
            <w:sz w:val="21"/>
            <w:szCs w:val="20"/>
            <w:lang w:val="lv-LV"/>
          </w:rPr>
          <w:t>.</w:t>
        </w:r>
      </w:hyperlink>
      <w:r>
        <w:rPr>
          <w:rStyle w:val="FootnoteReference"/>
          <w:sz w:val="21"/>
          <w:szCs w:val="20"/>
          <w:lang w:val="lv-LV"/>
        </w:rPr>
        <w:t xml:space="preserve"> </w:t>
      </w:r>
      <w:r>
        <w:rPr>
          <w:rStyle w:val="FootnoteReference"/>
          <w:sz w:val="21"/>
          <w:szCs w:val="20"/>
          <w:lang w:val="en-GB"/>
        </w:rPr>
        <w:t>Accessed on April 22, 2021</w:t>
      </w:r>
      <w:r>
        <w:rPr>
          <w:rStyle w:val="FootnoteReference"/>
          <w:sz w:val="21"/>
          <w:szCs w:val="20"/>
          <w:lang w:val="lv-LV"/>
        </w:rPr>
        <w:t>.</w:t>
      </w:r>
    </w:p>
  </w:footnote>
  <w:footnote w:id="65">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Krimināllikums (</w:t>
      </w:r>
      <w:r>
        <w:rPr>
          <w:rStyle w:val="FootnoteReference"/>
          <w:szCs w:val="20"/>
          <w:lang w:val="en-GB"/>
        </w:rPr>
        <w:t xml:space="preserve">The Criminal Law) ( 1 April 1999) Available at: </w:t>
      </w:r>
      <w:hyperlink r:id="rId37" w:history="1">
        <w:r>
          <w:rPr>
            <w:rStyle w:val="FootnoteReference"/>
            <w:szCs w:val="20"/>
            <w:lang w:val="en-GB"/>
          </w:rPr>
          <w:t>https://likumi.lv/ta/en/en/id/88966-the-criminal-law.</w:t>
        </w:r>
      </w:hyperlink>
      <w:r>
        <w:rPr>
          <w:rStyle w:val="FootnoteReference"/>
          <w:szCs w:val="20"/>
          <w:lang w:val="en-GB"/>
        </w:rPr>
        <w:t xml:space="preserve"> Accessed on April 22, 2021</w:t>
      </w:r>
      <w:r>
        <w:rPr>
          <w:rStyle w:val="FootnoteReference"/>
          <w:szCs w:val="20"/>
          <w:lang w:val="lv-LV"/>
        </w:rPr>
        <w:t>.</w:t>
      </w:r>
    </w:p>
  </w:footnote>
  <w:footnote w:id="66">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Law on the Prevention of Money Laundering and </w:t>
      </w:r>
      <w:r>
        <w:rPr>
          <w:rStyle w:val="FootnoteReference"/>
          <w:szCs w:val="20"/>
          <w:lang w:val="en-GB"/>
        </w:rPr>
        <w:t>Terrorism and Proliferation Financing (  Noziedzīgi iegūtu līdzekļu legalizācijas un terorisma un proliferācijas finansēšanas novēršanas likums) (</w:t>
      </w:r>
      <w:hyperlink r:id="rId38">
        <w:r>
          <w:rPr>
            <w:rStyle w:val="FootnoteReference"/>
            <w:szCs w:val="20"/>
            <w:lang w:val="en-GB"/>
          </w:rPr>
          <w:t>13 August 2008)</w:t>
        </w:r>
      </w:hyperlink>
      <w:r>
        <w:rPr>
          <w:rStyle w:val="FootnoteReference"/>
          <w:szCs w:val="20"/>
          <w:lang w:val="en-GB"/>
        </w:rPr>
        <w:t xml:space="preserve">. Available at </w:t>
      </w:r>
      <w:hyperlink r:id="rId39" w:history="1">
        <w:r>
          <w:rPr>
            <w:rStyle w:val="FootnoteReference"/>
            <w:szCs w:val="20"/>
            <w:lang w:val="en-GB"/>
          </w:rPr>
          <w:t>https://likumi.lv/ta/en/en/id/178987-law-on-the-prevention-of-money-laundering-and-terrorism-and-proliferation-financing.</w:t>
        </w:r>
      </w:hyperlink>
      <w:r>
        <w:rPr>
          <w:rStyle w:val="FootnoteReference"/>
          <w:szCs w:val="20"/>
          <w:lang w:val="en-GB"/>
        </w:rPr>
        <w:t xml:space="preserve"> Ac</w:t>
      </w:r>
      <w:r>
        <w:rPr>
          <w:rStyle w:val="FootnoteReference"/>
          <w:szCs w:val="20"/>
          <w:lang w:val="en-GB"/>
        </w:rPr>
        <w:t>cessed May 4, 2021</w:t>
      </w:r>
    </w:p>
  </w:footnote>
  <w:footnote w:id="67">
    <w:p w:rsidR="003540B4" w:rsidRDefault="008C0147">
      <w:pPr>
        <w:pStyle w:val="RGSLFootnotes"/>
        <w:rPr>
          <w:rStyle w:val="FootnoteReference"/>
          <w:szCs w:val="20"/>
          <w:lang w:val="lv-LV"/>
        </w:rPr>
      </w:pPr>
      <w:r>
        <w:rPr>
          <w:rStyle w:val="FootnoteReference"/>
          <w:szCs w:val="20"/>
        </w:rPr>
        <w:footnoteRef/>
      </w:r>
      <w:r>
        <w:rPr>
          <w:rStyle w:val="FootnoteReference"/>
          <w:szCs w:val="20"/>
        </w:rPr>
        <w:t xml:space="preserve"> FATF guidance</w:t>
      </w:r>
      <w:r>
        <w:rPr>
          <w:rStyle w:val="FootnoteReference"/>
          <w:szCs w:val="20"/>
          <w:lang w:val="lv-LV"/>
        </w:rPr>
        <w:t xml:space="preserve">. </w:t>
      </w:r>
      <w:r>
        <w:rPr>
          <w:rStyle w:val="FootnoteReference"/>
          <w:szCs w:val="20"/>
        </w:rPr>
        <w:t>T</w:t>
      </w:r>
      <w:r>
        <w:rPr>
          <w:rStyle w:val="FootnoteReference"/>
          <w:szCs w:val="20"/>
          <w:lang w:val="lv-LV"/>
        </w:rPr>
        <w:t xml:space="preserve">ransparency and Beneficial Ownership. Available on: </w:t>
      </w:r>
      <w:hyperlink r:id="rId40" w:history="1">
        <w:r>
          <w:rPr>
            <w:rStyle w:val="FootnoteReference"/>
            <w:szCs w:val="20"/>
          </w:rPr>
          <w:t>http://www.fatf-gafi.org/media/fatf/documents/report</w:t>
        </w:r>
        <w:r>
          <w:rPr>
            <w:rStyle w:val="FootnoteReference"/>
            <w:szCs w:val="20"/>
          </w:rPr>
          <w:t>s/Guidance-transparency-beneficial-ownership.pdf</w:t>
        </w:r>
        <w:r>
          <w:rPr>
            <w:rStyle w:val="FootnoteReference"/>
            <w:szCs w:val="20"/>
            <w:lang w:val="lv-LV"/>
          </w:rPr>
          <w:t>.</w:t>
        </w:r>
      </w:hyperlink>
      <w:r>
        <w:rPr>
          <w:rStyle w:val="FootnoteReference"/>
          <w:szCs w:val="20"/>
          <w:lang w:val="lv-LV"/>
        </w:rPr>
        <w:t xml:space="preserve"> Accessed April 1, 2021</w:t>
      </w:r>
    </w:p>
  </w:footnote>
  <w:footnote w:id="68">
    <w:p w:rsidR="003540B4" w:rsidRDefault="008C0147">
      <w:pPr>
        <w:pStyle w:val="RGSLFootnotes"/>
        <w:rPr>
          <w:rStyle w:val="FootnoteReference"/>
          <w:sz w:val="21"/>
          <w:szCs w:val="20"/>
        </w:rPr>
      </w:pPr>
      <w:r>
        <w:rPr>
          <w:rStyle w:val="FootnoteReference"/>
          <w:sz w:val="21"/>
          <w:szCs w:val="20"/>
        </w:rPr>
        <w:footnoteRef/>
      </w:r>
      <w:r>
        <w:rPr>
          <w:rStyle w:val="FootnoteReference"/>
          <w:sz w:val="21"/>
          <w:szCs w:val="20"/>
        </w:rPr>
        <w:t xml:space="preserve"> </w:t>
      </w:r>
      <w:r>
        <w:rPr>
          <w:rStyle w:val="FootnoteReference"/>
          <w:sz w:val="21"/>
          <w:szCs w:val="20"/>
          <w:lang w:val="lv-LV"/>
        </w:rPr>
        <w:t xml:space="preserve">Latvijas Republikas Uzņēmumu Reģistrs ( Enterprise Registry of the Republic of Latvia), Patieso Labuma Guvēju Skaidrojums ( Explanation of the True Beneficiaries) ( available in </w:t>
      </w:r>
      <w:r>
        <w:rPr>
          <w:rStyle w:val="FootnoteReference"/>
          <w:sz w:val="21"/>
          <w:szCs w:val="20"/>
          <w:lang w:val="lv-LV"/>
        </w:rPr>
        <w:t xml:space="preserve">Latvian), available on: </w:t>
      </w:r>
      <w:hyperlink r:id="rId41" w:history="1">
        <w:r>
          <w:rPr>
            <w:rStyle w:val="FootnoteReference"/>
            <w:sz w:val="21"/>
            <w:szCs w:val="20"/>
            <w:lang w:val="en-GB"/>
          </w:rPr>
          <w:t>https://www.ur.gov.lv/lv/patieso-labuma-guveju-skaidrojums/</w:t>
        </w:r>
        <w:r>
          <w:rPr>
            <w:rStyle w:val="FootnoteReference"/>
            <w:sz w:val="21"/>
            <w:szCs w:val="20"/>
            <w:lang w:val="en-GB"/>
          </w:rPr>
          <w:t>.</w:t>
        </w:r>
      </w:hyperlink>
      <w:r>
        <w:rPr>
          <w:rStyle w:val="FootnoteReference"/>
          <w:sz w:val="21"/>
          <w:szCs w:val="20"/>
          <w:lang w:val="en-GB"/>
        </w:rPr>
        <w:t xml:space="preserve"> </w:t>
      </w:r>
      <w:r>
        <w:rPr>
          <w:rStyle w:val="FootnoteReference"/>
          <w:sz w:val="21"/>
          <w:szCs w:val="20"/>
          <w:lang w:val="en-GB"/>
        </w:rPr>
        <w:t>Accessed April 5, 2021.</w:t>
      </w:r>
    </w:p>
  </w:footnote>
  <w:footnote w:id="69">
    <w:p w:rsidR="003540B4" w:rsidRDefault="008C0147">
      <w:pPr>
        <w:pStyle w:val="RGSLFootnotes"/>
        <w:rPr>
          <w:rStyle w:val="FootnoteReference"/>
          <w:sz w:val="21"/>
          <w:szCs w:val="20"/>
          <w:lang w:val="en-GB"/>
        </w:rPr>
      </w:pPr>
      <w:r>
        <w:rPr>
          <w:rStyle w:val="FootnoteReference"/>
          <w:sz w:val="21"/>
          <w:szCs w:val="20"/>
          <w:lang w:val="lv-LV"/>
        </w:rPr>
        <w:footnoteRef/>
      </w:r>
      <w:r>
        <w:rPr>
          <w:rStyle w:val="FootnoteReference"/>
          <w:sz w:val="21"/>
          <w:szCs w:val="20"/>
          <w:lang w:val="lv-LV"/>
        </w:rPr>
        <w:t xml:space="preserve"> </w:t>
      </w:r>
      <w:r>
        <w:rPr>
          <w:rStyle w:val="FootnoteReference"/>
          <w:i/>
          <w:iCs/>
          <w:sz w:val="21"/>
          <w:szCs w:val="20"/>
          <w:lang w:val="en-GB"/>
        </w:rPr>
        <w:t>Ibid</w:t>
      </w:r>
    </w:p>
  </w:footnote>
  <w:footnote w:id="70">
    <w:p w:rsidR="003540B4" w:rsidRDefault="008C0147">
      <w:pPr>
        <w:pStyle w:val="RGSLFootnotes"/>
        <w:rPr>
          <w:rStyle w:val="FootnoteReference"/>
          <w:sz w:val="21"/>
          <w:szCs w:val="20"/>
          <w:lang w:val="en-GB"/>
        </w:rPr>
      </w:pPr>
      <w:r>
        <w:rPr>
          <w:rStyle w:val="FootnoteReference"/>
          <w:sz w:val="21"/>
          <w:szCs w:val="20"/>
          <w:lang w:val="lv-LV"/>
        </w:rPr>
        <w:footnoteRef/>
      </w:r>
      <w:r>
        <w:rPr>
          <w:rStyle w:val="FootnoteReference"/>
          <w:sz w:val="21"/>
          <w:szCs w:val="20"/>
          <w:lang w:val="lv-LV"/>
        </w:rPr>
        <w:t xml:space="preserve"> </w:t>
      </w:r>
      <w:r>
        <w:rPr>
          <w:rStyle w:val="FootnoteReference"/>
          <w:i/>
          <w:iCs/>
          <w:sz w:val="21"/>
          <w:szCs w:val="20"/>
          <w:lang w:val="en-GB"/>
        </w:rPr>
        <w:t>Ibid</w:t>
      </w:r>
    </w:p>
  </w:footnote>
  <w:footnote w:id="71">
    <w:p w:rsidR="003540B4" w:rsidRDefault="008C0147">
      <w:pPr>
        <w:pStyle w:val="RGSLFootnotes"/>
        <w:rPr>
          <w:rStyle w:val="FootnoteReference"/>
          <w:szCs w:val="20"/>
        </w:rPr>
      </w:pPr>
      <w:r>
        <w:rPr>
          <w:rStyle w:val="FootnoteReference"/>
          <w:szCs w:val="20"/>
        </w:rPr>
        <w:footnoteRef/>
      </w:r>
      <w:r>
        <w:rPr>
          <w:rStyle w:val="FootnoteReference"/>
          <w:szCs w:val="20"/>
        </w:rPr>
        <w:t xml:space="preserve"> </w:t>
      </w:r>
      <w:r>
        <w:rPr>
          <w:rStyle w:val="FootnoteReference"/>
          <w:szCs w:val="20"/>
          <w:lang w:val="en-GB"/>
        </w:rPr>
        <w:t xml:space="preserve">Noziedzīgi iegūtu līdzekļu legalizācijas un terorisma </w:t>
      </w:r>
      <w:r>
        <w:rPr>
          <w:rStyle w:val="FootnoteReference"/>
          <w:szCs w:val="20"/>
          <w:lang w:val="en-GB"/>
        </w:rPr>
        <w:t>un proliferācijas finansēšanas novēršanas likums ( Law on the Prevention of Money Laundering and Terrorism and Proliferation Financing ) (</w:t>
      </w:r>
      <w:hyperlink r:id="rId42">
        <w:r>
          <w:rPr>
            <w:rStyle w:val="FootnoteReference"/>
            <w:szCs w:val="20"/>
            <w:lang w:val="en-GB"/>
          </w:rPr>
          <w:t>13 August 2008)</w:t>
        </w:r>
      </w:hyperlink>
      <w:r>
        <w:rPr>
          <w:rStyle w:val="FootnoteReference"/>
          <w:szCs w:val="20"/>
          <w:lang w:val="en-GB"/>
        </w:rPr>
        <w:t xml:space="preserve">. Available at </w:t>
      </w:r>
      <w:hyperlink r:id="rId43" w:history="1">
        <w:r>
          <w:rPr>
            <w:rStyle w:val="FootnoteReference"/>
            <w:szCs w:val="20"/>
            <w:lang w:val="en-GB"/>
          </w:rPr>
          <w:t>https://likumi.lv/ta/en/en/id/178987-law-on-the-prevention-of-money-laundering-and-terrorism-and-proliferation-financing.</w:t>
        </w:r>
      </w:hyperlink>
      <w:r>
        <w:rPr>
          <w:rStyle w:val="FootnoteReference"/>
          <w:szCs w:val="20"/>
          <w:lang w:val="en-GB"/>
        </w:rPr>
        <w:t xml:space="preserve"> Accessed A</w:t>
      </w:r>
      <w:r>
        <w:rPr>
          <w:rStyle w:val="FootnoteReference"/>
          <w:szCs w:val="20"/>
          <w:lang w:val="en-GB"/>
        </w:rPr>
        <w:t>pril 15, 2021</w:t>
      </w:r>
    </w:p>
  </w:footnote>
  <w:footnote w:id="72">
    <w:p w:rsidR="003540B4" w:rsidRDefault="008C0147">
      <w:pPr>
        <w:pStyle w:val="RGSLFootnotes"/>
        <w:rPr>
          <w:rStyle w:val="FootnoteReference"/>
          <w:szCs w:val="20"/>
        </w:rPr>
      </w:pPr>
      <w:r>
        <w:rPr>
          <w:rStyle w:val="FootnoteReference"/>
          <w:szCs w:val="20"/>
        </w:rPr>
        <w:footnoteRef/>
      </w:r>
      <w:r>
        <w:rPr>
          <w:rStyle w:val="FootnoteReference"/>
          <w:szCs w:val="20"/>
          <w:lang w:val="en-GB"/>
        </w:rPr>
        <w:t xml:space="preserve"> </w:t>
      </w:r>
      <w:r>
        <w:rPr>
          <w:rStyle w:val="FootnoteReference"/>
          <w:szCs w:val="20"/>
        </w:rPr>
        <w:t xml:space="preserve"> </w:t>
      </w:r>
      <w:r>
        <w:rPr>
          <w:rStyle w:val="FootnoteReference"/>
          <w:szCs w:val="20"/>
          <w:lang w:val="en-GB"/>
        </w:rPr>
        <w:t xml:space="preserve">Krimināllikums (The Criminal Law) ( 1 April 1999) Available at: </w:t>
      </w:r>
      <w:hyperlink r:id="rId44" w:history="1">
        <w:r>
          <w:rPr>
            <w:rStyle w:val="FootnoteReference"/>
            <w:szCs w:val="20"/>
            <w:lang w:val="en-GB"/>
          </w:rPr>
          <w:t>https://likumi.lv/ta/en/en/id/88966-the-criminal-law.</w:t>
        </w:r>
      </w:hyperlink>
      <w:r>
        <w:rPr>
          <w:rStyle w:val="FootnoteReference"/>
          <w:szCs w:val="20"/>
          <w:lang w:val="en-GB"/>
        </w:rPr>
        <w:t xml:space="preserve"> Accessed on April 1, 2021</w:t>
      </w:r>
      <w:r>
        <w:rPr>
          <w:rStyle w:val="FootnoteReference"/>
          <w:szCs w:val="20"/>
          <w:lang w:val="lv-LV"/>
        </w:rPr>
        <w:t>.</w:t>
      </w:r>
    </w:p>
  </w:footnote>
  <w:footnote w:id="73">
    <w:p w:rsidR="003540B4" w:rsidRDefault="008C0147">
      <w:pPr>
        <w:pStyle w:val="RGSLFootnotes"/>
        <w:rPr>
          <w:rStyle w:val="FootnoteReference"/>
          <w:szCs w:val="20"/>
          <w:lang w:val="lv-LV"/>
        </w:rPr>
      </w:pPr>
      <w:r>
        <w:rPr>
          <w:rStyle w:val="FootnoteReference"/>
          <w:szCs w:val="20"/>
        </w:rPr>
        <w:footnoteRef/>
      </w:r>
      <w:r>
        <w:rPr>
          <w:rStyle w:val="FootnoteReference"/>
          <w:szCs w:val="20"/>
        </w:rPr>
        <w:t xml:space="preserve"> </w:t>
      </w:r>
      <w:r>
        <w:rPr>
          <w:rStyle w:val="FootnoteReference"/>
          <w:szCs w:val="20"/>
          <w:lang w:val="en-GB"/>
        </w:rPr>
        <w:t xml:space="preserve">financial instruments </w:t>
      </w:r>
      <w:r>
        <w:rPr>
          <w:rStyle w:val="FootnoteReference"/>
          <w:szCs w:val="20"/>
          <w:lang w:val="en-GB"/>
        </w:rPr>
        <w:t>or means of payment (in the form of cash or non-cash resources) held by a person, documents (in hard copy or electronic form) in the ownership or possession of a person that give the right to gain benefit from them, as well as precious metals in the owners</w:t>
      </w:r>
      <w:r>
        <w:rPr>
          <w:rStyle w:val="FootnoteReference"/>
          <w:szCs w:val="20"/>
          <w:lang w:val="en-GB"/>
        </w:rPr>
        <w:t>hip or possession of a person</w:t>
      </w:r>
      <w:r>
        <w:rPr>
          <w:rStyle w:val="FootnoteReference"/>
          <w:szCs w:val="20"/>
          <w:lang w:val="lv-LV"/>
        </w:rPr>
        <w:t xml:space="preserve"> </w:t>
      </w:r>
      <w:r>
        <w:rPr>
          <w:rStyle w:val="FootnoteReference"/>
          <w:szCs w:val="20"/>
          <w:lang w:val="en-GB"/>
        </w:rPr>
        <w:t>Law on the Prevention of Money Laundering and Terrorism and Proliferation Financing (  Noziedzīgi iegūtu līdzekļu legalizācijas un terorisma un proliferācijas finansēšanas novēršanas likums) (</w:t>
      </w:r>
      <w:hyperlink r:id="rId45">
        <w:r>
          <w:rPr>
            <w:rStyle w:val="FootnoteReference"/>
            <w:szCs w:val="20"/>
            <w:lang w:val="en-GB"/>
          </w:rPr>
          <w:t>13 August 2008)</w:t>
        </w:r>
      </w:hyperlink>
      <w:r>
        <w:rPr>
          <w:rStyle w:val="FootnoteReference"/>
          <w:szCs w:val="20"/>
          <w:lang w:val="en-GB"/>
        </w:rPr>
        <w:t xml:space="preserve">. Available at </w:t>
      </w:r>
      <w:hyperlink r:id="rId46" w:history="1">
        <w:r>
          <w:rPr>
            <w:rStyle w:val="FootnoteReference"/>
            <w:szCs w:val="20"/>
            <w:lang w:val="en-GB"/>
          </w:rPr>
          <w:t>https://likumi.lv/ta/en/en/id/178987-law-on-the-pre</w:t>
        </w:r>
        <w:r>
          <w:rPr>
            <w:rStyle w:val="FootnoteReference"/>
            <w:szCs w:val="20"/>
            <w:lang w:val="en-GB"/>
          </w:rPr>
          <w:t>vention-of-money-laundering-and-terrorism-and-proliferation-financing.</w:t>
        </w:r>
      </w:hyperlink>
      <w:r>
        <w:rPr>
          <w:rStyle w:val="FootnoteReference"/>
          <w:szCs w:val="20"/>
          <w:lang w:val="en-GB"/>
        </w:rPr>
        <w:t xml:space="preserve"> (accesed at 10 November 2020)</w:t>
      </w:r>
      <w:r>
        <w:rPr>
          <w:rStyle w:val="FootnoteReference"/>
          <w:szCs w:val="20"/>
          <w:lang w:val="lv-LV"/>
        </w:rPr>
        <w:t xml:space="preserve"> </w:t>
      </w:r>
    </w:p>
  </w:footnote>
  <w:footnote w:id="74">
    <w:p w:rsidR="003540B4" w:rsidRDefault="008C0147">
      <w:pPr>
        <w:pStyle w:val="RGSLFootnotes"/>
        <w:rPr>
          <w:rStyle w:val="FootnoteReference"/>
          <w:szCs w:val="20"/>
          <w:lang w:val="lv-LV"/>
        </w:rPr>
      </w:pPr>
      <w:r>
        <w:rPr>
          <w:rStyle w:val="FootnoteReference"/>
          <w:szCs w:val="20"/>
        </w:rPr>
        <w:footnoteRef/>
      </w:r>
      <w:r>
        <w:rPr>
          <w:rStyle w:val="FootnoteReference"/>
          <w:szCs w:val="20"/>
        </w:rPr>
        <w:t xml:space="preserve"> assets of every kind, whether corporeal or incorporeal, movable or immovable, tangible or intangible, and legal documents or instruments evidencing t</w:t>
      </w:r>
      <w:r>
        <w:rPr>
          <w:rStyle w:val="FootnoteReference"/>
          <w:szCs w:val="20"/>
        </w:rPr>
        <w:t>itle to or interests in such assets</w:t>
      </w:r>
      <w:r>
        <w:rPr>
          <w:rStyle w:val="FootnoteReference"/>
          <w:szCs w:val="20"/>
          <w:lang w:val="lv-LV"/>
        </w:rPr>
        <w:t xml:space="preserve"> </w:t>
      </w:r>
    </w:p>
    <w:p w:rsidR="003540B4" w:rsidRDefault="008C0147">
      <w:pPr>
        <w:pStyle w:val="RGSLFootnotes"/>
        <w:rPr>
          <w:rStyle w:val="FootnoteReference"/>
          <w:szCs w:val="20"/>
          <w:lang w:val="lv-LV"/>
        </w:rPr>
      </w:pPr>
      <w:r>
        <w:rPr>
          <w:rStyle w:val="FootnoteReference"/>
          <w:szCs w:val="20"/>
          <w:lang w:val="en-GB"/>
        </w:rPr>
        <w:t xml:space="preserve">COUNCIL DIRECTIVE  91 /308/EEC  of 10 June 1991 on prevention of the use of the financial system for the purpose of money laundering Available at: </w:t>
      </w:r>
      <w:hyperlink r:id="rId47" w:history="1">
        <w:r>
          <w:rPr>
            <w:rStyle w:val="FootnoteReference"/>
            <w:szCs w:val="20"/>
            <w:lang w:val="en-GB"/>
          </w:rPr>
          <w:t>https://eur-lex.europa.eu/legal-content/EN/TXT/PDF/?uri=CELEX:31991L0308&amp;from=LV.</w:t>
        </w:r>
      </w:hyperlink>
      <w:r>
        <w:rPr>
          <w:rStyle w:val="FootnoteReference"/>
          <w:szCs w:val="20"/>
          <w:lang w:val="en-GB"/>
        </w:rPr>
        <w:t xml:space="preserve"> (accesed at10 November 2020)</w:t>
      </w:r>
    </w:p>
  </w:footnote>
  <w:footnote w:id="75">
    <w:p w:rsidR="003540B4" w:rsidRDefault="008C0147">
      <w:pPr>
        <w:pStyle w:val="RGSLFootnotes"/>
        <w:rPr>
          <w:rStyle w:val="FootnoteReference"/>
          <w:sz w:val="21"/>
          <w:szCs w:val="22"/>
        </w:rPr>
      </w:pPr>
      <w:r>
        <w:rPr>
          <w:rStyle w:val="FootnoteReference"/>
          <w:sz w:val="21"/>
          <w:szCs w:val="22"/>
        </w:rPr>
        <w:footnoteRef/>
      </w:r>
      <w:r>
        <w:rPr>
          <w:rStyle w:val="FootnoteReference"/>
          <w:sz w:val="21"/>
          <w:szCs w:val="22"/>
        </w:rPr>
        <w:t xml:space="preserve"> </w:t>
      </w:r>
      <w:r>
        <w:rPr>
          <w:rStyle w:val="FootnoteReference"/>
          <w:sz w:val="21"/>
          <w:szCs w:val="22"/>
          <w:lang w:val="en-GB"/>
        </w:rPr>
        <w:t xml:space="preserve">Juris Juriss, “Money laundering” ( Noziedzīgi Iegūtu Līdzekļu Legalizēšana) ( available in Latvian). Available on:  </w:t>
      </w:r>
      <w:hyperlink r:id="rId48" w:history="1">
        <w:r>
          <w:rPr>
            <w:rStyle w:val="FootnoteReference"/>
            <w:sz w:val="21"/>
            <w:szCs w:val="22"/>
            <w:lang w:val="en-GB"/>
          </w:rPr>
          <w:t>https://dspace.lu.lv/dspace/bitstream/handle/7/5198/33657-Juris_Juriss_2013.pdf?sequence=1</w:t>
        </w:r>
      </w:hyperlink>
      <w:r>
        <w:rPr>
          <w:rStyle w:val="FootnoteReference"/>
          <w:sz w:val="21"/>
          <w:szCs w:val="22"/>
          <w:lang w:val="en-GB"/>
        </w:rPr>
        <w:t>. P 107</w:t>
      </w:r>
    </w:p>
  </w:footnote>
  <w:footnote w:id="76">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w:t>
      </w:r>
      <w:r>
        <w:rPr>
          <w:rStyle w:val="FootnoteReference"/>
          <w:sz w:val="21"/>
          <w:szCs w:val="22"/>
          <w:lang w:val="en-GB"/>
        </w:rPr>
        <w:t>Krimināllikums (The Criminal Law) ( 1 April 1999)</w:t>
      </w:r>
      <w:r>
        <w:rPr>
          <w:rStyle w:val="FootnoteReference"/>
          <w:sz w:val="21"/>
          <w:szCs w:val="22"/>
          <w:lang w:val="en-GB"/>
        </w:rPr>
        <w:t xml:space="preserve"> Available at: </w:t>
      </w:r>
      <w:hyperlink r:id="rId49" w:history="1">
        <w:r>
          <w:rPr>
            <w:rStyle w:val="FootnoteReference"/>
            <w:sz w:val="21"/>
            <w:szCs w:val="22"/>
            <w:lang w:val="en-GB"/>
          </w:rPr>
          <w:t>https://likumi.lv/ta/en/en/id/88966-the-criminal-law.</w:t>
        </w:r>
      </w:hyperlink>
      <w:r>
        <w:rPr>
          <w:rStyle w:val="FootnoteReference"/>
          <w:sz w:val="21"/>
          <w:szCs w:val="22"/>
          <w:lang w:val="en-GB"/>
        </w:rPr>
        <w:t xml:space="preserve"> Accessed on April 1, 2021</w:t>
      </w:r>
      <w:r>
        <w:rPr>
          <w:rStyle w:val="FootnoteReference"/>
          <w:sz w:val="21"/>
          <w:szCs w:val="22"/>
          <w:lang w:val="lv-LV"/>
        </w:rPr>
        <w:t>.</w:t>
      </w:r>
    </w:p>
  </w:footnote>
  <w:footnote w:id="77">
    <w:p w:rsidR="003540B4" w:rsidRDefault="008C0147">
      <w:pPr>
        <w:pStyle w:val="FootnoteText"/>
        <w:spacing w:line="240" w:lineRule="auto"/>
      </w:pPr>
      <w:r>
        <w:rPr>
          <w:rStyle w:val="FootnoteReference"/>
        </w:rPr>
        <w:footnoteRef/>
      </w:r>
      <w:r>
        <w:t xml:space="preserve"> </w:t>
      </w:r>
      <w:r>
        <w:rPr>
          <w:rStyle w:val="FootnoteReference"/>
          <w:sz w:val="21"/>
          <w:szCs w:val="22"/>
          <w:lang w:val="en-GB"/>
        </w:rPr>
        <w:t xml:space="preserve">Komerclikums ( The Commercial Law) ( 1 January 2002). Available on:  </w:t>
      </w:r>
      <w:r>
        <w:rPr>
          <w:rStyle w:val="FootnoteReference"/>
          <w:sz w:val="21"/>
          <w:szCs w:val="22"/>
        </w:rPr>
        <w:t xml:space="preserve"> https://likumi.lv/</w:t>
      </w:r>
      <w:r>
        <w:rPr>
          <w:rStyle w:val="FootnoteReference"/>
          <w:sz w:val="21"/>
          <w:szCs w:val="22"/>
        </w:rPr>
        <w:t>ta/en/en/id/5490-the-commercial-law</w:t>
      </w:r>
      <w:r>
        <w:rPr>
          <w:sz w:val="21"/>
          <w:szCs w:val="22"/>
          <w:lang w:val="en-GB"/>
        </w:rPr>
        <w:t>.</w:t>
      </w:r>
      <w:r>
        <w:rPr>
          <w:rStyle w:val="FootnoteReference"/>
          <w:sz w:val="21"/>
          <w:szCs w:val="22"/>
          <w:lang w:val="en-GB"/>
        </w:rPr>
        <w:t xml:space="preserve"> Accessed April 5, 2021.</w:t>
      </w:r>
    </w:p>
  </w:footnote>
  <w:footnote w:id="78">
    <w:p w:rsidR="003540B4" w:rsidRDefault="008C0147">
      <w:pPr>
        <w:pStyle w:val="FootnoteText"/>
        <w:spacing w:line="240" w:lineRule="auto"/>
        <w:rPr>
          <w:rStyle w:val="FootnoteReference"/>
          <w:sz w:val="21"/>
          <w:szCs w:val="22"/>
          <w:lang w:val="lv-LV"/>
        </w:rPr>
      </w:pPr>
      <w:r>
        <w:rPr>
          <w:rStyle w:val="FootnoteReference"/>
          <w:sz w:val="21"/>
          <w:szCs w:val="22"/>
        </w:rPr>
        <w:footnoteRef/>
      </w:r>
      <w:r>
        <w:rPr>
          <w:rStyle w:val="FootnoteReference"/>
          <w:sz w:val="21"/>
          <w:szCs w:val="22"/>
        </w:rPr>
        <w:t xml:space="preserve">  </w:t>
      </w:r>
      <w:r>
        <w:rPr>
          <w:rStyle w:val="FootnoteReference"/>
          <w:sz w:val="21"/>
          <w:szCs w:val="22"/>
          <w:lang w:val="lv-LV"/>
        </w:rPr>
        <w:t>Latvijas Republikas Uzņēmumu Reģistrs ( Enterprise Registry of the Republic of Latvia), Patieso Labuma Guvēju Skaidrojums ( Explanation of the True Beneficiaries) ( available in Latvian), avai</w:t>
      </w:r>
      <w:r>
        <w:rPr>
          <w:rStyle w:val="FootnoteReference"/>
          <w:sz w:val="21"/>
          <w:szCs w:val="22"/>
          <w:lang w:val="lv-LV"/>
        </w:rPr>
        <w:t xml:space="preserve">lable on: </w:t>
      </w:r>
      <w:hyperlink r:id="rId50" w:history="1">
        <w:r>
          <w:rPr>
            <w:rStyle w:val="FootnoteReference"/>
            <w:sz w:val="21"/>
            <w:szCs w:val="22"/>
            <w:lang w:val="en-GB"/>
          </w:rPr>
          <w:t>https://www.ur.gov.lv/lv/patieso-labuma-guveju-skaidrojums/</w:t>
        </w:r>
        <w:r>
          <w:rPr>
            <w:rStyle w:val="FootnoteReference"/>
            <w:sz w:val="21"/>
            <w:szCs w:val="22"/>
            <w:lang w:val="en-GB"/>
          </w:rPr>
          <w:t>.</w:t>
        </w:r>
      </w:hyperlink>
      <w:r>
        <w:rPr>
          <w:sz w:val="21"/>
          <w:szCs w:val="22"/>
          <w:lang w:val="en-GB"/>
        </w:rPr>
        <w:t xml:space="preserve"> </w:t>
      </w:r>
      <w:r>
        <w:rPr>
          <w:rStyle w:val="FootnoteReference"/>
          <w:sz w:val="21"/>
          <w:szCs w:val="22"/>
          <w:lang w:val="en-GB"/>
        </w:rPr>
        <w:t>Accessed April 5, 2021.</w:t>
      </w:r>
    </w:p>
    <w:p w:rsidR="003540B4" w:rsidRDefault="003540B4">
      <w:pPr>
        <w:pStyle w:val="FootnoteText"/>
        <w:rPr>
          <w:rStyle w:val="FootnoteReference"/>
          <w:sz w:val="21"/>
          <w:szCs w:val="22"/>
          <w:lang w:val="en-GB"/>
        </w:rPr>
      </w:pPr>
    </w:p>
    <w:p w:rsidR="003540B4" w:rsidRDefault="003540B4">
      <w:pPr>
        <w:pStyle w:val="RGSLFootnotes"/>
        <w:rPr>
          <w:rStyle w:val="FootnoteReference"/>
          <w:sz w:val="21"/>
          <w:szCs w:val="22"/>
        </w:rPr>
      </w:pPr>
    </w:p>
  </w:footnote>
  <w:footnote w:id="79">
    <w:p w:rsidR="003540B4" w:rsidRDefault="008C0147">
      <w:pPr>
        <w:pStyle w:val="RGSLFootnotes"/>
      </w:pPr>
      <w:r>
        <w:rPr>
          <w:rStyle w:val="FootnoteReference"/>
        </w:rPr>
        <w:footnoteRef/>
      </w:r>
      <w:r>
        <w:t xml:space="preserve"> </w:t>
      </w:r>
      <w:r>
        <w:rPr>
          <w:rStyle w:val="FootnoteReference"/>
          <w:sz w:val="21"/>
          <w:szCs w:val="22"/>
        </w:rPr>
        <w:t xml:space="preserve"> </w:t>
      </w:r>
      <w:r>
        <w:rPr>
          <w:rStyle w:val="FootnoteReference"/>
          <w:sz w:val="21"/>
          <w:szCs w:val="22"/>
          <w:lang w:val="en-GB"/>
        </w:rPr>
        <w:t xml:space="preserve">Komerclikums ( The Commercial Law) ( 1 January 2002). Available on:  </w:t>
      </w:r>
      <w:r>
        <w:rPr>
          <w:rStyle w:val="FootnoteReference"/>
          <w:sz w:val="21"/>
          <w:szCs w:val="22"/>
        </w:rPr>
        <w:t xml:space="preserve"> https://l</w:t>
      </w:r>
      <w:r>
        <w:rPr>
          <w:rStyle w:val="FootnoteReference"/>
          <w:sz w:val="21"/>
          <w:szCs w:val="22"/>
        </w:rPr>
        <w:t>ikumi.lv/ta/en/en/id/5490-the-commercial-law</w:t>
      </w:r>
      <w:r>
        <w:rPr>
          <w:sz w:val="21"/>
          <w:szCs w:val="22"/>
          <w:lang w:val="en-GB"/>
        </w:rPr>
        <w:t>.</w:t>
      </w:r>
      <w:r>
        <w:rPr>
          <w:rStyle w:val="FootnoteReference"/>
          <w:sz w:val="21"/>
          <w:szCs w:val="22"/>
          <w:lang w:val="en-GB"/>
        </w:rPr>
        <w:t xml:space="preserve"> Accessed April 5, 2021.</w:t>
      </w:r>
    </w:p>
  </w:footnote>
  <w:footnote w:id="80">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w:t>
      </w:r>
      <w:r>
        <w:rPr>
          <w:rStyle w:val="FootnoteReference"/>
          <w:sz w:val="21"/>
          <w:szCs w:val="22"/>
          <w:lang w:val="en-GB"/>
        </w:rPr>
        <w:t xml:space="preserve">Finance and Capital Market Comission. </w:t>
      </w:r>
      <w:r>
        <w:rPr>
          <w:rStyle w:val="FootnoteReference"/>
          <w:sz w:val="21"/>
          <w:szCs w:val="22"/>
        </w:rPr>
        <w:t>Kredītiestāžu klientu – biedrību – patieso labuma guvē ju noskaidrošana</w:t>
      </w:r>
      <w:r>
        <w:rPr>
          <w:rStyle w:val="FootnoteReference"/>
          <w:sz w:val="21"/>
          <w:szCs w:val="22"/>
          <w:lang w:val="en-GB"/>
        </w:rPr>
        <w:t xml:space="preserve">. Available at: </w:t>
      </w:r>
      <w:hyperlink r:id="rId51" w:history="1">
        <w:r>
          <w:rPr>
            <w:rStyle w:val="FootnoteReference"/>
            <w:sz w:val="21"/>
            <w:szCs w:val="22"/>
          </w:rPr>
          <w:t>https://www.fktk.lv/wp-content/uploads/2021/01/08.01.01.-_33_PLG_NVO.pdf</w:t>
        </w:r>
        <w:r>
          <w:rPr>
            <w:rStyle w:val="FootnoteReference"/>
            <w:sz w:val="21"/>
            <w:szCs w:val="22"/>
            <w:lang w:val="en-GB"/>
          </w:rPr>
          <w:t>.</w:t>
        </w:r>
      </w:hyperlink>
      <w:r>
        <w:rPr>
          <w:rStyle w:val="FootnoteReference"/>
          <w:sz w:val="21"/>
          <w:szCs w:val="22"/>
          <w:lang w:val="en-GB"/>
        </w:rPr>
        <w:t xml:space="preserve"> Accessed April 5, 2021. </w:t>
      </w:r>
    </w:p>
  </w:footnote>
  <w:footnote w:id="81">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Valsts pārvaldes iekārtas likums</w:t>
      </w:r>
      <w:r>
        <w:rPr>
          <w:rStyle w:val="FootnoteReference"/>
          <w:sz w:val="21"/>
          <w:szCs w:val="22"/>
          <w:lang w:val="en-GB"/>
        </w:rPr>
        <w:t xml:space="preserve"> ( </w:t>
      </w:r>
      <w:r>
        <w:rPr>
          <w:rStyle w:val="FootnoteReference"/>
          <w:sz w:val="21"/>
          <w:szCs w:val="22"/>
        </w:rPr>
        <w:t>State Administration Structure Law</w:t>
      </w:r>
      <w:r>
        <w:rPr>
          <w:rStyle w:val="FootnoteReference"/>
          <w:sz w:val="21"/>
          <w:szCs w:val="22"/>
          <w:lang w:val="en-GB"/>
        </w:rPr>
        <w:t xml:space="preserve">) ( 06.06.2002) Available on: </w:t>
      </w:r>
      <w:hyperlink r:id="rId52" w:history="1">
        <w:r>
          <w:rPr>
            <w:rStyle w:val="FootnoteReference"/>
            <w:sz w:val="21"/>
            <w:szCs w:val="22"/>
          </w:rPr>
          <w:t>https://likumi.lv/ta/en/en/id/63545-state-administration-structure-law</w:t>
        </w:r>
        <w:r>
          <w:rPr>
            <w:rStyle w:val="FootnoteReference"/>
            <w:sz w:val="21"/>
            <w:szCs w:val="22"/>
            <w:lang w:val="en-GB"/>
          </w:rPr>
          <w:t>.</w:t>
        </w:r>
      </w:hyperlink>
      <w:r>
        <w:rPr>
          <w:rStyle w:val="FootnoteReference"/>
          <w:sz w:val="21"/>
          <w:szCs w:val="22"/>
          <w:lang w:val="en-GB"/>
        </w:rPr>
        <w:t xml:space="preserve"> Accessed April 10, 2021. </w:t>
      </w:r>
    </w:p>
  </w:footnote>
  <w:footnote w:id="82">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w:t>
      </w:r>
      <w:r>
        <w:rPr>
          <w:rStyle w:val="FootnoteReference"/>
          <w:i/>
          <w:iCs/>
          <w:sz w:val="21"/>
          <w:szCs w:val="22"/>
          <w:lang w:val="en-GB"/>
        </w:rPr>
        <w:t>Ibid</w:t>
      </w:r>
    </w:p>
  </w:footnote>
  <w:footnote w:id="83">
    <w:p w:rsidR="003540B4" w:rsidRDefault="008C0147">
      <w:pPr>
        <w:pStyle w:val="RGSLFootnotes"/>
        <w:rPr>
          <w:rStyle w:val="FootnoteReference"/>
          <w:sz w:val="21"/>
          <w:szCs w:val="22"/>
        </w:rPr>
      </w:pPr>
      <w:r>
        <w:rPr>
          <w:rStyle w:val="FootnoteReference"/>
          <w:sz w:val="21"/>
          <w:szCs w:val="22"/>
        </w:rPr>
        <w:footnoteRef/>
      </w:r>
      <w:r>
        <w:rPr>
          <w:rStyle w:val="FootnoteReference"/>
          <w:sz w:val="21"/>
          <w:szCs w:val="22"/>
        </w:rPr>
        <w:t xml:space="preserve">  </w:t>
      </w:r>
      <w:r>
        <w:rPr>
          <w:rStyle w:val="FootnoteReference"/>
          <w:sz w:val="21"/>
          <w:szCs w:val="22"/>
          <w:lang w:val="lv-LV"/>
        </w:rPr>
        <w:t>Latvijas Republikas Uzņēmumu Reģistrs ( Enterprise Registry of the Repub</w:t>
      </w:r>
      <w:r>
        <w:rPr>
          <w:rStyle w:val="FootnoteReference"/>
          <w:sz w:val="21"/>
          <w:szCs w:val="22"/>
          <w:lang w:val="lv-LV"/>
        </w:rPr>
        <w:t xml:space="preserve">lic of Latvia), Patieso Labuma Guvēju Skaidrojums ( Explanation of the True Beneficiaries) ( available in Latvian), available on: </w:t>
      </w:r>
      <w:hyperlink r:id="rId53" w:history="1">
        <w:r>
          <w:rPr>
            <w:rStyle w:val="FootnoteReference"/>
            <w:sz w:val="21"/>
            <w:szCs w:val="22"/>
            <w:lang w:val="lv-LV"/>
          </w:rPr>
          <w:t>https://www.ur.gov.lv/lv/patieso-labuma-guveju-skaid</w:t>
        </w:r>
        <w:r>
          <w:rPr>
            <w:rStyle w:val="FootnoteReference"/>
            <w:sz w:val="21"/>
            <w:szCs w:val="22"/>
            <w:lang w:val="lv-LV"/>
          </w:rPr>
          <w:t>rojums/</w:t>
        </w:r>
        <w:r>
          <w:rPr>
            <w:rStyle w:val="FootnoteReference"/>
            <w:sz w:val="21"/>
            <w:szCs w:val="22"/>
            <w:lang w:val="en-GB"/>
          </w:rPr>
          <w:t>.</w:t>
        </w:r>
      </w:hyperlink>
      <w:r>
        <w:rPr>
          <w:rStyle w:val="FootnoteReference"/>
          <w:sz w:val="21"/>
          <w:szCs w:val="22"/>
          <w:lang w:val="en-GB"/>
        </w:rPr>
        <w:t xml:space="preserve"> </w:t>
      </w:r>
      <w:r>
        <w:rPr>
          <w:rStyle w:val="FootnoteReference"/>
          <w:sz w:val="21"/>
          <w:szCs w:val="22"/>
          <w:lang w:val="en-GB"/>
        </w:rPr>
        <w:t xml:space="preserve">Accessed April 10, 2021. </w:t>
      </w:r>
    </w:p>
  </w:footnote>
  <w:footnote w:id="84">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Kooperatīvo sabiedrību likums</w:t>
      </w:r>
      <w:r>
        <w:rPr>
          <w:rStyle w:val="FootnoteReference"/>
          <w:sz w:val="21"/>
          <w:szCs w:val="22"/>
          <w:lang w:val="en-GB"/>
        </w:rPr>
        <w:t xml:space="preserve">( </w:t>
      </w:r>
      <w:r>
        <w:rPr>
          <w:rStyle w:val="FootnoteReference"/>
          <w:sz w:val="21"/>
          <w:szCs w:val="22"/>
        </w:rPr>
        <w:t>Co-operative Societies Law</w:t>
      </w:r>
      <w:r>
        <w:rPr>
          <w:rStyle w:val="FootnoteReference"/>
          <w:sz w:val="21"/>
          <w:szCs w:val="22"/>
          <w:lang w:val="en-GB"/>
        </w:rPr>
        <w:t xml:space="preserve">) (05.02.1998) Available on: </w:t>
      </w:r>
      <w:hyperlink r:id="rId54" w:history="1">
        <w:r>
          <w:rPr>
            <w:rStyle w:val="FootnoteReference"/>
            <w:sz w:val="21"/>
            <w:szCs w:val="22"/>
          </w:rPr>
          <w:t>https://likumi.lv/ta/en/en/id/47009</w:t>
        </w:r>
        <w:r>
          <w:rPr>
            <w:rStyle w:val="FootnoteReference"/>
            <w:sz w:val="21"/>
            <w:szCs w:val="22"/>
            <w:lang w:val="en-GB"/>
          </w:rPr>
          <w:t>.</w:t>
        </w:r>
      </w:hyperlink>
      <w:r>
        <w:rPr>
          <w:rStyle w:val="FootnoteReference"/>
          <w:sz w:val="21"/>
          <w:szCs w:val="22"/>
          <w:lang w:val="en-GB"/>
        </w:rPr>
        <w:t xml:space="preserve"> Accessed April 10, 2021. </w:t>
      </w:r>
    </w:p>
  </w:footnote>
  <w:footnote w:id="85">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w:t>
      </w:r>
      <w:r>
        <w:rPr>
          <w:rStyle w:val="FootnoteReference"/>
          <w:sz w:val="21"/>
          <w:szCs w:val="22"/>
          <w:lang w:val="lv-LV"/>
        </w:rPr>
        <w:t>Latvijas Re</w:t>
      </w:r>
      <w:r>
        <w:rPr>
          <w:rStyle w:val="FootnoteReference"/>
          <w:sz w:val="21"/>
          <w:szCs w:val="22"/>
          <w:lang w:val="lv-LV"/>
        </w:rPr>
        <w:t xml:space="preserve">publikas Uzņēmumu Reģistrs </w:t>
      </w:r>
      <w:r>
        <w:rPr>
          <w:rStyle w:val="FootnoteReference"/>
          <w:sz w:val="21"/>
          <w:szCs w:val="22"/>
          <w:lang w:val="lv-LV"/>
        </w:rPr>
        <w:t xml:space="preserve">( Enterprise Registry of the Republic of Latvia), Patieso Labuma Guvēju Skaidrojums ( Explanation of the True Beneficiaries) ( available in Latvian), available on: </w:t>
      </w:r>
      <w:hyperlink r:id="rId55" w:history="1">
        <w:r>
          <w:rPr>
            <w:rStyle w:val="FootnoteReference"/>
            <w:sz w:val="21"/>
            <w:szCs w:val="22"/>
          </w:rPr>
          <w:t>https://www.ur.gov.lv/lv/patieso-labuma-guveju-skaidrojums/</w:t>
        </w:r>
        <w:r>
          <w:rPr>
            <w:rStyle w:val="FootnoteReference"/>
            <w:sz w:val="21"/>
            <w:szCs w:val="22"/>
            <w:lang w:val="en-GB"/>
          </w:rPr>
          <w:t>.</w:t>
        </w:r>
      </w:hyperlink>
      <w:r>
        <w:rPr>
          <w:rStyle w:val="FootnoteReference"/>
          <w:sz w:val="21"/>
          <w:szCs w:val="22"/>
          <w:lang w:val="en-GB"/>
        </w:rPr>
        <w:t xml:space="preserve"> Accessed April 15, 2021</w:t>
      </w:r>
    </w:p>
  </w:footnote>
  <w:footnote w:id="86">
    <w:p w:rsidR="003540B4" w:rsidRDefault="008C0147">
      <w:pPr>
        <w:pStyle w:val="RGSLFootnotes"/>
        <w:rPr>
          <w:rStyle w:val="FootnoteReference"/>
          <w:sz w:val="21"/>
          <w:szCs w:val="22"/>
          <w:lang w:val="en-GB"/>
        </w:rPr>
      </w:pPr>
      <w:r>
        <w:rPr>
          <w:rStyle w:val="FootnoteReference"/>
          <w:sz w:val="21"/>
          <w:szCs w:val="22"/>
          <w:lang w:val="lv-LV"/>
        </w:rPr>
        <w:footnoteRef/>
      </w:r>
      <w:r>
        <w:rPr>
          <w:rStyle w:val="FootnoteReference"/>
          <w:sz w:val="21"/>
          <w:szCs w:val="22"/>
          <w:lang w:val="en-GB"/>
        </w:rPr>
        <w:t xml:space="preserve"> </w:t>
      </w:r>
      <w:r>
        <w:rPr>
          <w:rStyle w:val="FootnoteReference"/>
          <w:sz w:val="21"/>
          <w:szCs w:val="22"/>
          <w:lang w:val="en-GB"/>
        </w:rPr>
        <w:t xml:space="preserve">Komerclikums ( The Commercial Law) ( 1 January 2002). Available on:  </w:t>
      </w:r>
      <w:r>
        <w:rPr>
          <w:rStyle w:val="FootnoteReference"/>
          <w:sz w:val="21"/>
          <w:szCs w:val="22"/>
          <w:lang w:val="lv-LV"/>
        </w:rPr>
        <w:t xml:space="preserve"> </w:t>
      </w:r>
      <w:hyperlink r:id="rId56" w:history="1">
        <w:r>
          <w:rPr>
            <w:rStyle w:val="FootnoteReference"/>
            <w:sz w:val="21"/>
            <w:szCs w:val="22"/>
            <w:lang w:val="lv-LV"/>
          </w:rPr>
          <w:t>https://likumi.lv/ta/en/en/id/5490-the-commercial-law</w:t>
        </w:r>
        <w:r>
          <w:rPr>
            <w:rStyle w:val="FootnoteReference"/>
            <w:sz w:val="21"/>
            <w:szCs w:val="22"/>
            <w:lang w:val="en-GB"/>
          </w:rPr>
          <w:t>.</w:t>
        </w:r>
      </w:hyperlink>
      <w:r>
        <w:rPr>
          <w:rStyle w:val="FootnoteReference"/>
          <w:sz w:val="21"/>
          <w:szCs w:val="22"/>
          <w:lang w:val="en-GB"/>
        </w:rPr>
        <w:t xml:space="preserve"> Accessed April 15, 2021</w:t>
      </w:r>
    </w:p>
  </w:footnote>
  <w:footnote w:id="87">
    <w:p w:rsidR="003540B4" w:rsidRDefault="008C0147">
      <w:pPr>
        <w:pStyle w:val="RGSLFootnotes"/>
        <w:rPr>
          <w:rStyle w:val="FootnoteReference"/>
          <w:sz w:val="21"/>
          <w:szCs w:val="22"/>
          <w:lang w:val="en-GB"/>
        </w:rPr>
      </w:pPr>
      <w:r>
        <w:rPr>
          <w:rStyle w:val="FootnoteReference"/>
          <w:sz w:val="21"/>
          <w:szCs w:val="22"/>
          <w:lang w:val="lv-LV"/>
        </w:rPr>
        <w:footnoteRef/>
      </w:r>
      <w:r>
        <w:rPr>
          <w:rStyle w:val="FootnoteReference"/>
          <w:sz w:val="21"/>
          <w:szCs w:val="22"/>
          <w:lang w:val="lv-LV"/>
        </w:rPr>
        <w:t xml:space="preserve"> </w:t>
      </w:r>
      <w:r>
        <w:rPr>
          <w:rStyle w:val="FootnoteReference"/>
          <w:i/>
          <w:iCs/>
          <w:sz w:val="21"/>
          <w:szCs w:val="22"/>
          <w:lang w:val="en-GB"/>
        </w:rPr>
        <w:t>Ibid</w:t>
      </w:r>
    </w:p>
  </w:footnote>
  <w:footnote w:id="88">
    <w:p w:rsidR="003540B4" w:rsidRDefault="008C0147">
      <w:pPr>
        <w:pStyle w:val="RGSLFootnotes"/>
        <w:rPr>
          <w:rStyle w:val="FootnoteReference"/>
          <w:sz w:val="21"/>
          <w:szCs w:val="22"/>
          <w:lang w:val="en-GB"/>
        </w:rPr>
      </w:pPr>
      <w:r>
        <w:rPr>
          <w:rStyle w:val="FootnoteReference"/>
          <w:sz w:val="21"/>
          <w:szCs w:val="22"/>
          <w:lang w:val="lv-LV"/>
        </w:rPr>
        <w:footnoteRef/>
      </w:r>
      <w:r>
        <w:rPr>
          <w:rStyle w:val="FootnoteReference"/>
          <w:sz w:val="21"/>
          <w:szCs w:val="22"/>
          <w:lang w:val="lv-LV"/>
        </w:rPr>
        <w:t xml:space="preserve">  Latvijas Republikas Uzņēmumu Reģistrs ( Enterprise Registry of the Republic of Latvia), Patieso Labuma Guvēju Skaidrojums ( Explanation of the True Beneficiaries) (</w:t>
      </w:r>
      <w:r>
        <w:rPr>
          <w:rStyle w:val="FootnoteReference"/>
          <w:sz w:val="21"/>
          <w:szCs w:val="22"/>
          <w:lang w:val="lv-LV"/>
        </w:rPr>
        <w:t xml:space="preserve"> available in Latvian), available on: </w:t>
      </w:r>
      <w:hyperlink r:id="rId57" w:history="1">
        <w:r>
          <w:rPr>
            <w:rStyle w:val="FootnoteReference"/>
            <w:sz w:val="21"/>
            <w:szCs w:val="22"/>
            <w:lang w:val="lv-LV"/>
          </w:rPr>
          <w:t>https://www.ur.gov.lv/lv/patieso-labuma-guveju-skaidrojums/</w:t>
        </w:r>
        <w:r>
          <w:rPr>
            <w:rStyle w:val="FootnoteReference"/>
            <w:sz w:val="21"/>
            <w:szCs w:val="22"/>
            <w:lang w:val="en-GB"/>
          </w:rPr>
          <w:t>.</w:t>
        </w:r>
      </w:hyperlink>
      <w:r>
        <w:rPr>
          <w:rStyle w:val="FootnoteReference"/>
          <w:sz w:val="21"/>
          <w:szCs w:val="22"/>
          <w:lang w:val="en-GB"/>
        </w:rPr>
        <w:t xml:space="preserve"> Accessed April 18, 2021</w:t>
      </w:r>
    </w:p>
  </w:footnote>
  <w:footnote w:id="89">
    <w:p w:rsidR="003540B4" w:rsidRDefault="008C0147">
      <w:pPr>
        <w:pStyle w:val="RGSLFootnotes"/>
        <w:rPr>
          <w:rStyle w:val="FootnoteReference"/>
          <w:sz w:val="21"/>
          <w:szCs w:val="22"/>
          <w:lang w:val="en-GB" w:eastAsia="zh-CN"/>
        </w:rPr>
      </w:pPr>
      <w:r>
        <w:rPr>
          <w:rStyle w:val="FootnoteReference"/>
          <w:rFonts w:hint="eastAsia"/>
          <w:sz w:val="21"/>
          <w:szCs w:val="22"/>
          <w:lang w:eastAsia="zh-CN"/>
        </w:rPr>
        <w:footnoteRef/>
      </w:r>
      <w:r>
        <w:rPr>
          <w:rStyle w:val="FootnoteReference"/>
          <w:rFonts w:hint="eastAsia"/>
          <w:sz w:val="21"/>
          <w:szCs w:val="22"/>
          <w:lang w:eastAsia="zh-CN"/>
        </w:rPr>
        <w:t xml:space="preserve"> </w:t>
      </w:r>
      <w:r>
        <w:rPr>
          <w:rStyle w:val="FootnoteReference"/>
          <w:sz w:val="21"/>
          <w:szCs w:val="22"/>
          <w:lang w:val="en-GB" w:eastAsia="zh-CN"/>
        </w:rPr>
        <w:t>Biedr</w:t>
      </w:r>
      <w:r>
        <w:rPr>
          <w:rStyle w:val="FootnoteReference"/>
          <w:sz w:val="21"/>
          <w:szCs w:val="22"/>
          <w:lang w:val="lv-LV" w:eastAsia="zh-CN"/>
        </w:rPr>
        <w:t>ību un Nodibinājumu Likums ( Associatio</w:t>
      </w:r>
      <w:r>
        <w:rPr>
          <w:rStyle w:val="FootnoteReference"/>
          <w:sz w:val="21"/>
          <w:szCs w:val="22"/>
          <w:lang w:val="lv-LV" w:eastAsia="zh-CN"/>
        </w:rPr>
        <w:t>ns and Fou</w:t>
      </w:r>
      <w:r>
        <w:rPr>
          <w:rStyle w:val="FootnoteReference"/>
          <w:sz w:val="21"/>
          <w:szCs w:val="22"/>
          <w:lang w:val="lv-LV" w:eastAsia="zh-CN"/>
        </w:rPr>
        <w:t xml:space="preserve">ndations Law) ( 1 April 2004) </w:t>
      </w:r>
      <w:r>
        <w:rPr>
          <w:rStyle w:val="FootnoteReference"/>
          <w:sz w:val="21"/>
          <w:szCs w:val="22"/>
          <w:lang w:val="en-GB" w:eastAsia="zh-CN"/>
        </w:rPr>
        <w:t xml:space="preserve"> https://likumi.lv/ta/en/en/id/81050-associations-and-foundations-law</w:t>
      </w:r>
    </w:p>
    <w:p w:rsidR="003540B4" w:rsidRDefault="008C0147">
      <w:pPr>
        <w:pStyle w:val="RGSLFootnotes"/>
        <w:rPr>
          <w:rStyle w:val="FootnoteReference"/>
          <w:sz w:val="21"/>
          <w:szCs w:val="22"/>
          <w:lang w:val="en-GB" w:eastAsia="zh-CN"/>
        </w:rPr>
      </w:pPr>
      <w:r>
        <w:rPr>
          <w:rStyle w:val="FootnoteReference"/>
          <w:sz w:val="21"/>
          <w:szCs w:val="22"/>
          <w:lang w:val="en-GB" w:eastAsia="zh-CN"/>
        </w:rPr>
        <w:t>v/ta/en/en/id/81050-associations-and-foundations-law</w:t>
      </w:r>
      <w:r>
        <w:rPr>
          <w:rStyle w:val="FootnoteReference"/>
          <w:sz w:val="21"/>
          <w:szCs w:val="22"/>
          <w:lang w:val="en-GB" w:eastAsia="zh-CN"/>
        </w:rPr>
        <w:t>. Accessed 29 March, 2021</w:t>
      </w:r>
    </w:p>
  </w:footnote>
  <w:footnote w:id="90">
    <w:p w:rsidR="003540B4" w:rsidRDefault="008C0147">
      <w:pPr>
        <w:pStyle w:val="RGSLFootnotes"/>
        <w:rPr>
          <w:rStyle w:val="FootnoteReference"/>
          <w:sz w:val="21"/>
          <w:szCs w:val="22"/>
          <w:lang w:val="en-GB" w:eastAsia="zh-CN"/>
        </w:rPr>
      </w:pPr>
      <w:r>
        <w:rPr>
          <w:rStyle w:val="FootnoteReference"/>
          <w:rFonts w:hint="eastAsia"/>
          <w:sz w:val="21"/>
          <w:szCs w:val="22"/>
          <w:lang w:val="en-GB" w:eastAsia="zh-CN"/>
        </w:rPr>
        <w:footnoteRef/>
      </w:r>
      <w:r>
        <w:rPr>
          <w:rStyle w:val="FootnoteReference"/>
          <w:rFonts w:hint="eastAsia"/>
          <w:sz w:val="21"/>
          <w:szCs w:val="22"/>
          <w:lang w:val="en-GB" w:eastAsia="zh-CN"/>
        </w:rPr>
        <w:t xml:space="preserve"> </w:t>
      </w:r>
      <w:r>
        <w:rPr>
          <w:rStyle w:val="FootnoteReference"/>
          <w:sz w:val="21"/>
          <w:szCs w:val="22"/>
          <w:lang w:val="en-GB" w:eastAsia="zh-CN"/>
        </w:rPr>
        <w:t xml:space="preserve">Politisko Partiju Likums </w:t>
      </w:r>
      <w:r>
        <w:rPr>
          <w:rStyle w:val="FootnoteReference"/>
          <w:sz w:val="21"/>
          <w:szCs w:val="22"/>
          <w:lang w:val="lv-LV" w:eastAsia="zh-CN"/>
        </w:rPr>
        <w:t xml:space="preserve">( Law on Political Parties) ( 1 January 2007). Available on: </w:t>
      </w:r>
      <w:hyperlink r:id="rId58" w:history="1">
        <w:r>
          <w:rPr>
            <w:rStyle w:val="FootnoteReference"/>
            <w:sz w:val="21"/>
            <w:szCs w:val="22"/>
            <w:lang w:val="en-GB" w:eastAsia="zh-CN"/>
          </w:rPr>
          <w:t>https://likumi.lv/ta/en/en/id/139367-law-on-political-parties</w:t>
        </w:r>
        <w:r>
          <w:rPr>
            <w:rStyle w:val="FootnoteReference"/>
            <w:sz w:val="21"/>
            <w:szCs w:val="22"/>
            <w:lang w:val="en-GB" w:eastAsia="zh-CN"/>
          </w:rPr>
          <w:t>.</w:t>
        </w:r>
      </w:hyperlink>
      <w:r>
        <w:rPr>
          <w:rStyle w:val="FootnoteReference"/>
          <w:sz w:val="21"/>
          <w:szCs w:val="22"/>
          <w:lang w:val="en-GB" w:eastAsia="zh-CN"/>
        </w:rPr>
        <w:t xml:space="preserve"> Accessed 29 March, 2021</w:t>
      </w:r>
    </w:p>
  </w:footnote>
  <w:footnote w:id="91">
    <w:p w:rsidR="003540B4" w:rsidRDefault="008C0147">
      <w:pPr>
        <w:pStyle w:val="RGSLFootnotes"/>
        <w:rPr>
          <w:rStyle w:val="FootnoteReference"/>
          <w:sz w:val="21"/>
          <w:szCs w:val="22"/>
          <w:lang w:val="en-GB" w:eastAsia="zh-CN"/>
        </w:rPr>
      </w:pPr>
      <w:r>
        <w:rPr>
          <w:rStyle w:val="FootnoteReference"/>
          <w:rFonts w:hint="eastAsia"/>
          <w:sz w:val="21"/>
          <w:szCs w:val="22"/>
          <w:lang w:val="en-GB" w:eastAsia="zh-CN"/>
        </w:rPr>
        <w:footnoteRef/>
      </w:r>
      <w:r>
        <w:rPr>
          <w:rStyle w:val="FootnoteReference"/>
          <w:rFonts w:hint="eastAsia"/>
          <w:sz w:val="21"/>
          <w:szCs w:val="22"/>
          <w:lang w:val="en-GB" w:eastAsia="zh-CN"/>
        </w:rPr>
        <w:t xml:space="preserve"> </w:t>
      </w:r>
      <w:r>
        <w:rPr>
          <w:rStyle w:val="FootnoteReference"/>
          <w:sz w:val="21"/>
          <w:szCs w:val="22"/>
          <w:lang w:val="en-GB" w:eastAsia="zh-CN"/>
        </w:rPr>
        <w:t>Arodbiedrību Likums</w:t>
      </w:r>
      <w:r>
        <w:rPr>
          <w:rStyle w:val="FootnoteReference"/>
          <w:sz w:val="21"/>
          <w:szCs w:val="22"/>
          <w:lang w:val="lv-LV" w:eastAsia="zh-CN"/>
        </w:rPr>
        <w:t xml:space="preserve"> (Law on</w:t>
      </w:r>
      <w:r>
        <w:rPr>
          <w:rStyle w:val="FootnoteReference"/>
          <w:sz w:val="21"/>
          <w:szCs w:val="22"/>
          <w:lang w:val="lv-LV" w:eastAsia="zh-CN"/>
        </w:rPr>
        <w:t xml:space="preserve"> Trade Unions) ( 1 November 2014). Available on: </w:t>
      </w:r>
      <w:r>
        <w:rPr>
          <w:rStyle w:val="FootnoteReference"/>
          <w:sz w:val="21"/>
          <w:szCs w:val="22"/>
          <w:lang w:val="en-GB" w:eastAsia="zh-CN"/>
        </w:rPr>
        <w:t xml:space="preserve"> </w:t>
      </w:r>
      <w:hyperlink r:id="rId59" w:history="1">
        <w:r>
          <w:rPr>
            <w:rStyle w:val="FootnoteReference"/>
            <w:sz w:val="21"/>
            <w:szCs w:val="22"/>
            <w:lang w:val="en-GB" w:eastAsia="zh-CN"/>
          </w:rPr>
          <w:t>https://likumi.lv/ta/en/en/id/265207-law-on-trade-unions</w:t>
        </w:r>
        <w:r>
          <w:rPr>
            <w:rStyle w:val="FootnoteReference"/>
            <w:sz w:val="21"/>
            <w:szCs w:val="22"/>
            <w:lang w:val="en-GB" w:eastAsia="zh-CN"/>
          </w:rPr>
          <w:t>.</w:t>
        </w:r>
      </w:hyperlink>
      <w:r>
        <w:rPr>
          <w:rStyle w:val="FootnoteReference"/>
          <w:sz w:val="21"/>
          <w:szCs w:val="22"/>
          <w:lang w:val="en-GB" w:eastAsia="zh-CN"/>
        </w:rPr>
        <w:t xml:space="preserve"> Accessed 29 March, 2021</w:t>
      </w:r>
    </w:p>
    <w:p w:rsidR="003540B4" w:rsidRDefault="003540B4">
      <w:pPr>
        <w:pStyle w:val="RGSLFootnotes"/>
        <w:rPr>
          <w:rStyle w:val="FootnoteReference"/>
          <w:sz w:val="21"/>
          <w:szCs w:val="22"/>
          <w:lang w:eastAsia="zh-CN"/>
        </w:rPr>
      </w:pPr>
    </w:p>
  </w:footnote>
  <w:footnote w:id="92">
    <w:p w:rsidR="003540B4" w:rsidRDefault="008C0147">
      <w:pPr>
        <w:pStyle w:val="RGSLFootnotes"/>
        <w:rPr>
          <w:rStyle w:val="FootnoteReference"/>
          <w:sz w:val="21"/>
          <w:szCs w:val="22"/>
          <w:lang w:val="en-GB"/>
        </w:rPr>
      </w:pPr>
      <w:r>
        <w:rPr>
          <w:rStyle w:val="FootnoteReference"/>
          <w:sz w:val="21"/>
          <w:szCs w:val="22"/>
        </w:rPr>
        <w:footnoteRef/>
      </w:r>
      <w:r>
        <w:rPr>
          <w:rStyle w:val="FootnoteReference"/>
          <w:sz w:val="21"/>
          <w:szCs w:val="22"/>
        </w:rPr>
        <w:t xml:space="preserve">  </w:t>
      </w:r>
      <w:r>
        <w:rPr>
          <w:rStyle w:val="FootnoteReference"/>
          <w:sz w:val="21"/>
          <w:szCs w:val="22"/>
          <w:lang w:val="lv-LV"/>
        </w:rPr>
        <w:t>Latvijas Republikas Uzņēmumu Reģistrs ( Enterp</w:t>
      </w:r>
      <w:r>
        <w:rPr>
          <w:rStyle w:val="FootnoteReference"/>
          <w:sz w:val="21"/>
          <w:szCs w:val="22"/>
          <w:lang w:val="lv-LV"/>
        </w:rPr>
        <w:t xml:space="preserve">rise Registry of the Republic of Latvia), Patieso Labuma Guvēju Skaidrojums ( Explanation of the True Beneficiaries) ( available in Latvian), available on: </w:t>
      </w:r>
      <w:hyperlink r:id="rId60" w:history="1">
        <w:r>
          <w:rPr>
            <w:rStyle w:val="FootnoteReference"/>
            <w:sz w:val="21"/>
            <w:szCs w:val="22"/>
            <w:lang w:val="lv-LV"/>
          </w:rPr>
          <w:t>https://www.ur.gov</w:t>
        </w:r>
        <w:r>
          <w:rPr>
            <w:rStyle w:val="FootnoteReference"/>
            <w:sz w:val="21"/>
            <w:szCs w:val="22"/>
            <w:lang w:val="lv-LV"/>
          </w:rPr>
          <w:t>.lv/lv/patieso-labuma-guveju-skaidrojums/</w:t>
        </w:r>
        <w:r>
          <w:rPr>
            <w:rStyle w:val="FootnoteReference"/>
            <w:sz w:val="21"/>
            <w:szCs w:val="22"/>
            <w:lang w:val="en-GB"/>
          </w:rPr>
          <w:t>.</w:t>
        </w:r>
        <w:r>
          <w:rPr>
            <w:sz w:val="21"/>
            <w:szCs w:val="22"/>
            <w:lang w:val="en-GB"/>
          </w:rPr>
          <w:t xml:space="preserve"> </w:t>
        </w:r>
        <w:r>
          <w:rPr>
            <w:rStyle w:val="FootnoteReference"/>
            <w:sz w:val="21"/>
            <w:szCs w:val="22"/>
            <w:lang w:val="en-GB"/>
          </w:rPr>
          <w:t>Accessed</w:t>
        </w:r>
      </w:hyperlink>
      <w:r>
        <w:rPr>
          <w:rStyle w:val="FootnoteReference"/>
          <w:sz w:val="21"/>
          <w:szCs w:val="22"/>
          <w:lang w:val="en-GB"/>
        </w:rPr>
        <w:t xml:space="preserve"> 1 May, 2021</w:t>
      </w:r>
    </w:p>
    <w:p w:rsidR="003540B4" w:rsidRDefault="003540B4">
      <w:pPr>
        <w:pStyle w:val="RGSLFootnotes"/>
        <w:rPr>
          <w:rStyle w:val="FootnoteReference"/>
          <w:sz w:val="21"/>
          <w:szCs w:val="22"/>
        </w:rPr>
      </w:pPr>
    </w:p>
  </w:footnote>
  <w:footnote w:id="93">
    <w:p w:rsidR="003540B4" w:rsidRDefault="008C0147">
      <w:pPr>
        <w:pStyle w:val="RGSLFootnotes"/>
        <w:rPr>
          <w:rStyle w:val="FootnoteReference"/>
          <w:sz w:val="21"/>
          <w:szCs w:val="22"/>
          <w:lang w:val="lv-LV"/>
        </w:rPr>
      </w:pPr>
      <w:r>
        <w:rPr>
          <w:rStyle w:val="FootnoteReference"/>
          <w:sz w:val="21"/>
          <w:szCs w:val="22"/>
          <w:lang w:val="en-GB"/>
        </w:rPr>
        <w:footnoteRef/>
      </w:r>
      <w:r>
        <w:rPr>
          <w:rStyle w:val="FootnoteReference"/>
          <w:sz w:val="21"/>
          <w:szCs w:val="22"/>
          <w:lang w:val="en-GB"/>
        </w:rPr>
        <w:t xml:space="preserve"> </w:t>
      </w:r>
      <w:r>
        <w:rPr>
          <w:rStyle w:val="FootnoteReference"/>
          <w:rFonts w:hint="eastAsia"/>
          <w:sz w:val="21"/>
          <w:szCs w:val="22"/>
          <w:lang w:eastAsia="zh-CN"/>
        </w:rPr>
        <w:t>R</w:t>
      </w:r>
      <w:r>
        <w:rPr>
          <w:rStyle w:val="FootnoteReference"/>
          <w:rFonts w:hint="eastAsia"/>
          <w:sz w:val="21"/>
          <w:szCs w:val="22"/>
          <w:lang w:eastAsia="zh-CN"/>
        </w:rPr>
        <w:t>ī</w:t>
      </w:r>
      <w:r>
        <w:rPr>
          <w:rStyle w:val="FootnoteReference"/>
          <w:rFonts w:hint="eastAsia"/>
          <w:sz w:val="21"/>
          <w:szCs w:val="22"/>
          <w:lang w:eastAsia="zh-CN"/>
        </w:rPr>
        <w:t>g</w:t>
      </w:r>
      <w:r>
        <w:rPr>
          <w:rStyle w:val="FootnoteReference"/>
          <w:sz w:val="21"/>
          <w:szCs w:val="22"/>
          <w:lang w:val="lv-LV" w:eastAsia="zh-CN"/>
        </w:rPr>
        <w:t xml:space="preserve">as </w:t>
      </w:r>
      <w:r>
        <w:rPr>
          <w:rStyle w:val="FootnoteReference"/>
          <w:rFonts w:hint="eastAsia"/>
          <w:sz w:val="21"/>
          <w:szCs w:val="22"/>
          <w:lang w:eastAsia="zh-CN"/>
        </w:rPr>
        <w:t>Administrat</w:t>
      </w:r>
      <w:r>
        <w:rPr>
          <w:rStyle w:val="FootnoteReference"/>
          <w:rFonts w:hint="eastAsia"/>
          <w:sz w:val="21"/>
          <w:szCs w:val="22"/>
          <w:lang w:eastAsia="zh-CN"/>
        </w:rPr>
        <w:t>ī</w:t>
      </w:r>
      <w:r>
        <w:rPr>
          <w:rStyle w:val="FootnoteReference"/>
          <w:rFonts w:hint="eastAsia"/>
          <w:sz w:val="21"/>
          <w:szCs w:val="22"/>
          <w:lang w:eastAsia="zh-CN"/>
        </w:rPr>
        <w:t>v</w:t>
      </w:r>
      <w:r>
        <w:rPr>
          <w:rStyle w:val="FootnoteReference"/>
          <w:rFonts w:hint="eastAsia"/>
          <w:sz w:val="21"/>
          <w:szCs w:val="22"/>
          <w:lang w:eastAsia="zh-CN"/>
        </w:rPr>
        <w:t>ā</w:t>
      </w:r>
      <w:r>
        <w:rPr>
          <w:rStyle w:val="FootnoteReference"/>
          <w:rFonts w:hint="eastAsia"/>
          <w:sz w:val="21"/>
          <w:szCs w:val="22"/>
          <w:lang w:eastAsia="zh-CN"/>
        </w:rPr>
        <w:t xml:space="preserve"> rajona tiesa</w:t>
      </w:r>
      <w:r>
        <w:rPr>
          <w:rStyle w:val="FootnoteReference"/>
          <w:sz w:val="21"/>
          <w:szCs w:val="22"/>
          <w:lang w:val="lv-LV" w:eastAsia="zh-CN"/>
        </w:rPr>
        <w:t xml:space="preserve"> ( Administrative District court of Riga)  </w:t>
      </w:r>
      <w:r>
        <w:rPr>
          <w:rStyle w:val="FootnoteReference"/>
          <w:rFonts w:hint="eastAsia"/>
          <w:sz w:val="21"/>
          <w:szCs w:val="22"/>
          <w:lang w:eastAsia="zh-CN"/>
        </w:rPr>
        <w:t>2021. gada 9. apr</w:t>
      </w:r>
      <w:r>
        <w:rPr>
          <w:rStyle w:val="FootnoteReference"/>
          <w:sz w:val="21"/>
          <w:szCs w:val="22"/>
          <w:lang w:val="lv-LV" w:eastAsia="zh-CN"/>
        </w:rPr>
        <w:t xml:space="preserve">iļa spriedums lietā </w:t>
      </w:r>
      <w:r>
        <w:rPr>
          <w:rStyle w:val="FootnoteReference"/>
          <w:sz w:val="21"/>
          <w:szCs w:val="22"/>
          <w:lang w:val="en-GB" w:eastAsia="zh-CN"/>
        </w:rPr>
        <w:t xml:space="preserve">Nr </w:t>
      </w:r>
      <w:r>
        <w:rPr>
          <w:rStyle w:val="FootnoteReference"/>
          <w:sz w:val="21"/>
          <w:szCs w:val="22"/>
          <w:lang w:val="en-GB"/>
        </w:rPr>
        <w:t>A42-00223-21/15</w:t>
      </w:r>
      <w:r>
        <w:rPr>
          <w:rStyle w:val="FootnoteReference"/>
          <w:sz w:val="21"/>
          <w:szCs w:val="22"/>
          <w:lang w:val="lv-LV"/>
        </w:rPr>
        <w:t xml:space="preserve">. Available ( in Latvian) on: </w:t>
      </w:r>
      <w:hyperlink r:id="rId61" w:history="1">
        <w:r>
          <w:rPr>
            <w:rStyle w:val="FootnoteReference"/>
            <w:sz w:val="21"/>
            <w:szCs w:val="22"/>
            <w:lang w:val="en-GB"/>
          </w:rPr>
          <w:t>https://manas.tiesas.lv/eTiesasMvc/nolemumi/pdf/444984.pdf</w:t>
        </w:r>
        <w:r>
          <w:rPr>
            <w:rStyle w:val="FootnoteReference"/>
            <w:sz w:val="21"/>
            <w:szCs w:val="22"/>
            <w:lang w:val="lv-LV"/>
          </w:rPr>
          <w:t>.</w:t>
        </w:r>
      </w:hyperlink>
      <w:r>
        <w:rPr>
          <w:rStyle w:val="FootnoteReference"/>
          <w:sz w:val="21"/>
          <w:szCs w:val="22"/>
          <w:lang w:val="lv-LV"/>
        </w:rPr>
        <w:t xml:space="preserve"> Accessed May 3, 2021</w:t>
      </w:r>
    </w:p>
  </w:footnote>
  <w:footnote w:id="94">
    <w:p w:rsidR="003540B4" w:rsidRDefault="008C0147">
      <w:pPr>
        <w:pStyle w:val="RGSLFootnotes"/>
        <w:rPr>
          <w:rStyle w:val="FootnoteReference"/>
          <w:szCs w:val="20"/>
          <w:lang w:val="en-GB"/>
        </w:rPr>
      </w:pPr>
      <w:r>
        <w:rPr>
          <w:rStyle w:val="FootnoteReference"/>
          <w:szCs w:val="20"/>
        </w:rPr>
        <w:footnoteRef/>
      </w:r>
      <w:r>
        <w:rPr>
          <w:rStyle w:val="FootnoteReference"/>
          <w:szCs w:val="20"/>
        </w:rPr>
        <w:t xml:space="preserve"> </w:t>
      </w:r>
      <w:r>
        <w:rPr>
          <w:rStyle w:val="FootnoteReference"/>
          <w:szCs w:val="20"/>
          <w:lang w:val="en-GB"/>
        </w:rPr>
        <w:t xml:space="preserve">Bloomberg, National Media Group CJSC, available on:  </w:t>
      </w:r>
      <w:r>
        <w:rPr>
          <w:rStyle w:val="FootnoteReference"/>
          <w:szCs w:val="20"/>
        </w:rPr>
        <w:t>https://www.bloomberg.com/profile/company/2847048Z:RU</w:t>
      </w:r>
    </w:p>
    <w:p w:rsidR="003540B4" w:rsidRDefault="003540B4">
      <w:pPr>
        <w:pStyle w:val="FootnoteText"/>
      </w:pPr>
    </w:p>
  </w:footnote>
  <w:footnote w:id="95">
    <w:p w:rsidR="003540B4" w:rsidRDefault="008C0147">
      <w:pPr>
        <w:pStyle w:val="RGSLReference"/>
        <w:rPr>
          <w:lang w:val="lv-LV"/>
        </w:rPr>
      </w:pPr>
      <w:r>
        <w:rPr>
          <w:rFonts w:hint="eastAsia"/>
        </w:rPr>
        <w:footnoteRef/>
      </w:r>
      <w:r>
        <w:rPr>
          <w:rFonts w:hint="eastAsia"/>
        </w:rPr>
        <w:t xml:space="preserve"> R</w:t>
      </w:r>
      <w:r>
        <w:rPr>
          <w:lang w:val="lv-LV"/>
        </w:rPr>
        <w:t>ī</w:t>
      </w:r>
      <w:r>
        <w:rPr>
          <w:rFonts w:hint="eastAsia"/>
        </w:rPr>
        <w:t>g</w:t>
      </w:r>
      <w:r>
        <w:rPr>
          <w:lang w:val="lv-LV"/>
        </w:rPr>
        <w:t xml:space="preserve">as </w:t>
      </w:r>
      <w:r>
        <w:rPr>
          <w:rFonts w:hint="eastAsia"/>
        </w:rPr>
        <w:t>Administrat</w:t>
      </w:r>
      <w:r>
        <w:rPr>
          <w:rFonts w:hint="eastAsia"/>
        </w:rPr>
        <w:t>ī</w:t>
      </w:r>
      <w:r>
        <w:rPr>
          <w:rFonts w:hint="eastAsia"/>
        </w:rPr>
        <w:t>v</w:t>
      </w:r>
      <w:r>
        <w:rPr>
          <w:rFonts w:hint="eastAsia"/>
        </w:rPr>
        <w:t>ā</w:t>
      </w:r>
      <w:r>
        <w:rPr>
          <w:rFonts w:hint="eastAsia"/>
        </w:rPr>
        <w:t xml:space="preserve"> rajona tiesa </w:t>
      </w:r>
      <w:r>
        <w:rPr>
          <w:lang w:val="lv-LV"/>
        </w:rPr>
        <w:t xml:space="preserve">( Riga Administrative District court) </w:t>
      </w:r>
      <w:r>
        <w:rPr>
          <w:rFonts w:hint="eastAsia"/>
        </w:rPr>
        <w:t>2021. gada 20. apr</w:t>
      </w:r>
      <w:r>
        <w:rPr>
          <w:rFonts w:hint="eastAsia"/>
        </w:rPr>
        <w:t>ī</w:t>
      </w:r>
      <w:r>
        <w:rPr>
          <w:lang w:val="lv-LV"/>
        </w:rPr>
        <w:t xml:space="preserve">ļa spriedums lietā </w:t>
      </w:r>
      <w:r>
        <w:rPr>
          <w:rFonts w:hint="eastAsia"/>
          <w:lang w:val="en-GB"/>
        </w:rPr>
        <w:t>Nr</w:t>
      </w:r>
      <w:r>
        <w:rPr>
          <w:rFonts w:hint="eastAsia"/>
        </w:rPr>
        <w:t xml:space="preserve"> A42-00196-21/18</w:t>
      </w:r>
      <w:r>
        <w:rPr>
          <w:lang w:val="lv-LV"/>
        </w:rPr>
        <w:t xml:space="preserve">. Available ( in Latvian) on:https://manas.tiesas.lv/eTiesasMvc/nolemumi/pdf/446134.pdf. Accessed May 3, 2021. </w:t>
      </w:r>
    </w:p>
    <w:p w:rsidR="003540B4" w:rsidRDefault="003540B4">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C023FA7"/>
    <w:multiLevelType w:val="singleLevel"/>
    <w:tmpl w:val="BC023FA7"/>
    <w:lvl w:ilvl="0">
      <w:start w:val="1"/>
      <w:numFmt w:val="bullet"/>
      <w:lvlText w:val=""/>
      <w:lvlJc w:val="left"/>
      <w:pPr>
        <w:tabs>
          <w:tab w:val="left" w:pos="420"/>
        </w:tabs>
        <w:ind w:left="420" w:hanging="420"/>
      </w:pPr>
      <w:rPr>
        <w:rFonts w:ascii="Wingdings" w:hAnsi="Wingdings" w:hint="default"/>
      </w:rPr>
    </w:lvl>
  </w:abstractNum>
  <w:abstractNum w:abstractNumId="1">
    <w:nsid w:val="D52EF2FF"/>
    <w:multiLevelType w:val="singleLevel"/>
    <w:tmpl w:val="D52EF2FF"/>
    <w:lvl w:ilvl="0">
      <w:start w:val="1"/>
      <w:numFmt w:val="decimal"/>
      <w:lvlText w:val="%1."/>
      <w:lvlJc w:val="left"/>
      <w:pPr>
        <w:tabs>
          <w:tab w:val="left" w:pos="425"/>
        </w:tabs>
        <w:ind w:left="425" w:hanging="425"/>
      </w:pPr>
      <w:rPr>
        <w:rFonts w:hint="default"/>
      </w:rPr>
    </w:lvl>
  </w:abstractNum>
  <w:abstractNum w:abstractNumId="2">
    <w:nsid w:val="E461A982"/>
    <w:multiLevelType w:val="multilevel"/>
    <w:tmpl w:val="E461A982"/>
    <w:lvl w:ilvl="0">
      <w:start w:val="1"/>
      <w:numFmt w:val="decimal"/>
      <w:suff w:val="space"/>
      <w:lvlText w:val="%1."/>
      <w:lvlJc w:val="left"/>
      <w:pPr>
        <w:ind w:left="679" w:firstLine="0"/>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nsid w:val="F016E80D"/>
    <w:multiLevelType w:val="multilevel"/>
    <w:tmpl w:val="F016E80D"/>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nsid w:val="F39DD34A"/>
    <w:multiLevelType w:val="singleLevel"/>
    <w:tmpl w:val="F39DD34A"/>
    <w:lvl w:ilvl="0">
      <w:start w:val="1"/>
      <w:numFmt w:val="decimal"/>
      <w:lvlText w:val="%1."/>
      <w:lvlJc w:val="left"/>
      <w:pPr>
        <w:tabs>
          <w:tab w:val="left" w:pos="425"/>
        </w:tabs>
        <w:ind w:left="425" w:hanging="425"/>
      </w:pPr>
      <w:rPr>
        <w:rFonts w:hint="default"/>
      </w:rPr>
    </w:lvl>
  </w:abstractNum>
  <w:abstractNum w:abstractNumId="5">
    <w:nsid w:val="33F1AF38"/>
    <w:multiLevelType w:val="singleLevel"/>
    <w:tmpl w:val="33F1AF38"/>
    <w:lvl w:ilvl="0">
      <w:start w:val="1"/>
      <w:numFmt w:val="bullet"/>
      <w:lvlText w:val=""/>
      <w:lvlJc w:val="left"/>
      <w:pPr>
        <w:tabs>
          <w:tab w:val="left" w:pos="420"/>
        </w:tabs>
        <w:ind w:left="420" w:hanging="420"/>
      </w:pPr>
      <w:rPr>
        <w:rFonts w:ascii="Wingdings" w:hAnsi="Wingdings" w:hint="default"/>
      </w:rPr>
    </w:lvl>
  </w:abstractNum>
  <w:abstractNum w:abstractNumId="6">
    <w:nsid w:val="4F40B94F"/>
    <w:multiLevelType w:val="singleLevel"/>
    <w:tmpl w:val="4F40B94F"/>
    <w:lvl w:ilvl="0">
      <w:start w:val="1"/>
      <w:numFmt w:val="bullet"/>
      <w:lvlText w:val=""/>
      <w:lvlJc w:val="left"/>
      <w:pPr>
        <w:tabs>
          <w:tab w:val="left" w:pos="420"/>
        </w:tabs>
        <w:ind w:left="420" w:hanging="420"/>
      </w:pPr>
      <w:rPr>
        <w:rFonts w:ascii="Wingdings" w:hAnsi="Wingdings" w:hint="default"/>
      </w:rPr>
    </w:lvl>
  </w:abstractNum>
  <w:abstractNum w:abstractNumId="7">
    <w:nsid w:val="5A6D5B09"/>
    <w:multiLevelType w:val="multilevel"/>
    <w:tmpl w:val="5A6D5B09"/>
    <w:lvl w:ilvl="0">
      <w:start w:val="1"/>
      <w:numFmt w:val="decimal"/>
      <w:pStyle w:val="RGSLHeading1"/>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8">
    <w:nsid w:val="5C45542E"/>
    <w:multiLevelType w:val="singleLevel"/>
    <w:tmpl w:val="5C45542E"/>
    <w:lvl w:ilvl="0">
      <w:start w:val="1"/>
      <w:numFmt w:val="bullet"/>
      <w:lvlText w:val=""/>
      <w:lvlJc w:val="left"/>
      <w:pPr>
        <w:tabs>
          <w:tab w:val="left" w:pos="420"/>
        </w:tabs>
        <w:ind w:left="420" w:hanging="420"/>
      </w:pPr>
      <w:rPr>
        <w:rFonts w:ascii="Wingdings" w:hAnsi="Wingdings" w:hint="default"/>
      </w:rPr>
    </w:lvl>
  </w:abstractNum>
  <w:abstractNum w:abstractNumId="9">
    <w:nsid w:val="72557FFD"/>
    <w:multiLevelType w:val="multilevel"/>
    <w:tmpl w:val="72557FFD"/>
    <w:lvl w:ilvl="0">
      <w:start w:val="1"/>
      <w:numFmt w:val="decimal"/>
      <w:pStyle w:val="Heading1"/>
      <w:lvlText w:val="%1."/>
      <w:lvlJc w:val="left"/>
      <w:pPr>
        <w:ind w:left="720" w:hanging="360"/>
      </w:pPr>
    </w:lvl>
    <w:lvl w:ilvl="1">
      <w:start w:val="1"/>
      <w:numFmt w:val="decimal"/>
      <w:isLgl/>
      <w:lvlText w:val="%1.%2"/>
      <w:lvlJc w:val="left"/>
      <w:pPr>
        <w:ind w:left="1080" w:hanging="720"/>
      </w:pPr>
      <w:rPr>
        <w:rFonts w:hint="default"/>
      </w:rPr>
    </w:lvl>
    <w:lvl w:ilvl="2">
      <w:start w:val="1"/>
      <w:numFmt w:val="decimal"/>
      <w:pStyle w:val="RGSLHeading3"/>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
    <w:nsid w:val="7CCF7187"/>
    <w:multiLevelType w:val="singleLevel"/>
    <w:tmpl w:val="7CCF7187"/>
    <w:lvl w:ilvl="0">
      <w:start w:val="1"/>
      <w:numFmt w:val="bullet"/>
      <w:lvlText w:val=""/>
      <w:lvlJc w:val="left"/>
      <w:pPr>
        <w:tabs>
          <w:tab w:val="left" w:pos="420"/>
        </w:tabs>
        <w:ind w:left="420" w:hanging="420"/>
      </w:pPr>
      <w:rPr>
        <w:rFonts w:ascii="Wingdings" w:hAnsi="Wingdings" w:hint="default"/>
      </w:rPr>
    </w:lvl>
  </w:abstractNum>
  <w:num w:numId="1">
    <w:abstractNumId w:val="9"/>
  </w:num>
  <w:num w:numId="2">
    <w:abstractNumId w:val="7"/>
  </w:num>
  <w:num w:numId="3">
    <w:abstractNumId w:val="4"/>
  </w:num>
  <w:num w:numId="4">
    <w:abstractNumId w:val="1"/>
  </w:num>
  <w:num w:numId="5">
    <w:abstractNumId w:val="3"/>
  </w:num>
  <w:num w:numId="6">
    <w:abstractNumId w:val="10"/>
  </w:num>
  <w:num w:numId="7">
    <w:abstractNumId w:val="5"/>
  </w:num>
  <w:num w:numId="8">
    <w:abstractNumId w:val="2"/>
  </w:num>
  <w:num w:numId="9">
    <w:abstractNumId w:val="6"/>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embedSystemFont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AE040C"/>
    <w:rsid w:val="003540B4"/>
    <w:rsid w:val="003650B5"/>
    <w:rsid w:val="003814F5"/>
    <w:rsid w:val="006A0870"/>
    <w:rsid w:val="006A6E0A"/>
    <w:rsid w:val="00882E84"/>
    <w:rsid w:val="008C0147"/>
    <w:rsid w:val="009B7B22"/>
    <w:rsid w:val="00B55D94"/>
    <w:rsid w:val="00C435A9"/>
    <w:rsid w:val="00D36739"/>
    <w:rsid w:val="00F55532"/>
    <w:rsid w:val="0243782A"/>
    <w:rsid w:val="02FC0B5C"/>
    <w:rsid w:val="036327AE"/>
    <w:rsid w:val="03936D2A"/>
    <w:rsid w:val="05140AE9"/>
    <w:rsid w:val="05142213"/>
    <w:rsid w:val="05427036"/>
    <w:rsid w:val="06154BC2"/>
    <w:rsid w:val="063F097A"/>
    <w:rsid w:val="070F7B87"/>
    <w:rsid w:val="07316D9A"/>
    <w:rsid w:val="0762764C"/>
    <w:rsid w:val="077D0B23"/>
    <w:rsid w:val="07BB7A63"/>
    <w:rsid w:val="081967F5"/>
    <w:rsid w:val="08B465BF"/>
    <w:rsid w:val="0A5D5BB9"/>
    <w:rsid w:val="0ADE7612"/>
    <w:rsid w:val="0B0145D1"/>
    <w:rsid w:val="0BFF2D4A"/>
    <w:rsid w:val="0C842DFD"/>
    <w:rsid w:val="0C944784"/>
    <w:rsid w:val="0CB56CCE"/>
    <w:rsid w:val="0DA54010"/>
    <w:rsid w:val="0DD32225"/>
    <w:rsid w:val="0E635A1D"/>
    <w:rsid w:val="0E891D0A"/>
    <w:rsid w:val="0F1C48F4"/>
    <w:rsid w:val="107564C8"/>
    <w:rsid w:val="108D6912"/>
    <w:rsid w:val="10F412B8"/>
    <w:rsid w:val="11493F1F"/>
    <w:rsid w:val="11842B8C"/>
    <w:rsid w:val="11C86640"/>
    <w:rsid w:val="11F032FA"/>
    <w:rsid w:val="14252470"/>
    <w:rsid w:val="17030F48"/>
    <w:rsid w:val="175D5C25"/>
    <w:rsid w:val="17E356D8"/>
    <w:rsid w:val="191606B8"/>
    <w:rsid w:val="192D4EF0"/>
    <w:rsid w:val="19D916E2"/>
    <w:rsid w:val="1A0B1B14"/>
    <w:rsid w:val="1A3527F3"/>
    <w:rsid w:val="1AD20BC5"/>
    <w:rsid w:val="1B125A53"/>
    <w:rsid w:val="1B647994"/>
    <w:rsid w:val="1BCC56D1"/>
    <w:rsid w:val="1BFF5C7A"/>
    <w:rsid w:val="1C59148A"/>
    <w:rsid w:val="1D1F08FA"/>
    <w:rsid w:val="1D561947"/>
    <w:rsid w:val="1E542093"/>
    <w:rsid w:val="1EDB787B"/>
    <w:rsid w:val="1F1609F4"/>
    <w:rsid w:val="1FBF3D6F"/>
    <w:rsid w:val="2078470D"/>
    <w:rsid w:val="20AE0246"/>
    <w:rsid w:val="20CF1950"/>
    <w:rsid w:val="215B561A"/>
    <w:rsid w:val="23103F63"/>
    <w:rsid w:val="23234181"/>
    <w:rsid w:val="247F0B30"/>
    <w:rsid w:val="252A3EEE"/>
    <w:rsid w:val="268661F7"/>
    <w:rsid w:val="26D3249A"/>
    <w:rsid w:val="299E6B70"/>
    <w:rsid w:val="2A5A0A94"/>
    <w:rsid w:val="2B436FEB"/>
    <w:rsid w:val="2B81348E"/>
    <w:rsid w:val="2C2D53B1"/>
    <w:rsid w:val="2CAA0324"/>
    <w:rsid w:val="2D4E14A2"/>
    <w:rsid w:val="2D705616"/>
    <w:rsid w:val="2DD76D7E"/>
    <w:rsid w:val="2E9C33BF"/>
    <w:rsid w:val="2EBE42D5"/>
    <w:rsid w:val="2FAF5021"/>
    <w:rsid w:val="30F50032"/>
    <w:rsid w:val="317E4419"/>
    <w:rsid w:val="3273258E"/>
    <w:rsid w:val="328C4658"/>
    <w:rsid w:val="32904BF4"/>
    <w:rsid w:val="33C4155B"/>
    <w:rsid w:val="342C1CD4"/>
    <w:rsid w:val="359672E2"/>
    <w:rsid w:val="35DD2E30"/>
    <w:rsid w:val="3641587A"/>
    <w:rsid w:val="36760704"/>
    <w:rsid w:val="369B1C9C"/>
    <w:rsid w:val="37016F59"/>
    <w:rsid w:val="374C6C93"/>
    <w:rsid w:val="375C4196"/>
    <w:rsid w:val="384509B9"/>
    <w:rsid w:val="397E3697"/>
    <w:rsid w:val="3A162B34"/>
    <w:rsid w:val="3A862E91"/>
    <w:rsid w:val="3A990F30"/>
    <w:rsid w:val="3B4C5AFF"/>
    <w:rsid w:val="3C710035"/>
    <w:rsid w:val="3CF77273"/>
    <w:rsid w:val="3D5A096F"/>
    <w:rsid w:val="3D944B1C"/>
    <w:rsid w:val="3EA37FAB"/>
    <w:rsid w:val="3FE9797C"/>
    <w:rsid w:val="40B661AB"/>
    <w:rsid w:val="40FD7805"/>
    <w:rsid w:val="433647A0"/>
    <w:rsid w:val="43A96C9B"/>
    <w:rsid w:val="444A6396"/>
    <w:rsid w:val="449D2526"/>
    <w:rsid w:val="44D263E1"/>
    <w:rsid w:val="45E46535"/>
    <w:rsid w:val="473C7298"/>
    <w:rsid w:val="47446D47"/>
    <w:rsid w:val="478260D7"/>
    <w:rsid w:val="47A04AA6"/>
    <w:rsid w:val="47D54252"/>
    <w:rsid w:val="48AD43DB"/>
    <w:rsid w:val="4A795498"/>
    <w:rsid w:val="4A83505E"/>
    <w:rsid w:val="4B19282C"/>
    <w:rsid w:val="4BE90079"/>
    <w:rsid w:val="4BFE2E28"/>
    <w:rsid w:val="4C3D1DEB"/>
    <w:rsid w:val="4C673D3A"/>
    <w:rsid w:val="4CE83952"/>
    <w:rsid w:val="4CFD6F82"/>
    <w:rsid w:val="4D202CFC"/>
    <w:rsid w:val="4E200703"/>
    <w:rsid w:val="50B716B5"/>
    <w:rsid w:val="50BE11CB"/>
    <w:rsid w:val="528A21B5"/>
    <w:rsid w:val="52D62DE1"/>
    <w:rsid w:val="5458492B"/>
    <w:rsid w:val="545952F5"/>
    <w:rsid w:val="548A7367"/>
    <w:rsid w:val="554B6F11"/>
    <w:rsid w:val="56A66A60"/>
    <w:rsid w:val="571B78C1"/>
    <w:rsid w:val="576E4962"/>
    <w:rsid w:val="578E6CFD"/>
    <w:rsid w:val="57AE040C"/>
    <w:rsid w:val="58AE6367"/>
    <w:rsid w:val="599E5942"/>
    <w:rsid w:val="5AB56328"/>
    <w:rsid w:val="5BA71F75"/>
    <w:rsid w:val="5D73481E"/>
    <w:rsid w:val="5DE21384"/>
    <w:rsid w:val="5DFB27C6"/>
    <w:rsid w:val="5DFD2A9F"/>
    <w:rsid w:val="5F2629B5"/>
    <w:rsid w:val="60FA0993"/>
    <w:rsid w:val="6145008A"/>
    <w:rsid w:val="63244B13"/>
    <w:rsid w:val="64013971"/>
    <w:rsid w:val="64381C32"/>
    <w:rsid w:val="643F42CE"/>
    <w:rsid w:val="64410F8F"/>
    <w:rsid w:val="649B0042"/>
    <w:rsid w:val="64B0733B"/>
    <w:rsid w:val="655433D3"/>
    <w:rsid w:val="68AD09B9"/>
    <w:rsid w:val="699E609C"/>
    <w:rsid w:val="6A6719A4"/>
    <w:rsid w:val="6AF04FCF"/>
    <w:rsid w:val="6B4C6214"/>
    <w:rsid w:val="6B587F20"/>
    <w:rsid w:val="6BA2047E"/>
    <w:rsid w:val="6C97379E"/>
    <w:rsid w:val="6CB33B37"/>
    <w:rsid w:val="6DA0195B"/>
    <w:rsid w:val="6E005F97"/>
    <w:rsid w:val="6E0A542E"/>
    <w:rsid w:val="6F1C3CF5"/>
    <w:rsid w:val="6F2D1FFB"/>
    <w:rsid w:val="6FED650F"/>
    <w:rsid w:val="70EE2E0B"/>
    <w:rsid w:val="71614F6E"/>
    <w:rsid w:val="72527E28"/>
    <w:rsid w:val="7285002D"/>
    <w:rsid w:val="728E22B9"/>
    <w:rsid w:val="72B36EF6"/>
    <w:rsid w:val="73992CCB"/>
    <w:rsid w:val="73C10048"/>
    <w:rsid w:val="7413437F"/>
    <w:rsid w:val="74D6112A"/>
    <w:rsid w:val="756275EF"/>
    <w:rsid w:val="75BA3829"/>
    <w:rsid w:val="761D73E9"/>
    <w:rsid w:val="762D7DBD"/>
    <w:rsid w:val="76EB71A5"/>
    <w:rsid w:val="77013991"/>
    <w:rsid w:val="77312182"/>
    <w:rsid w:val="77400171"/>
    <w:rsid w:val="77D11E21"/>
    <w:rsid w:val="783D51D1"/>
    <w:rsid w:val="787909B2"/>
    <w:rsid w:val="78A42767"/>
    <w:rsid w:val="79435336"/>
    <w:rsid w:val="7A3A484A"/>
    <w:rsid w:val="7ACA4CEB"/>
    <w:rsid w:val="7BAB6EE6"/>
    <w:rsid w:val="7D2E2FEC"/>
    <w:rsid w:val="7D3541BF"/>
    <w:rsid w:val="7D5D1863"/>
    <w:rsid w:val="7D876FD5"/>
    <w:rsid w:val="7DBC6755"/>
    <w:rsid w:val="7E633602"/>
    <w:rsid w:val="7E811C5D"/>
    <w:rsid w:val="7EA670BA"/>
    <w:rsid w:val="7FB10218"/>
    <w:rsid w:val="7FE250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lv-LV" w:eastAsia="lv-LV"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3" w:qFormat="1"/>
    <w:lsdException w:name="footnote text" w:qFormat="1"/>
    <w:lsdException w:name="annotation text" w:qFormat="1"/>
    <w:lsdException w:name="header" w:qFormat="1"/>
    <w:lsdException w:name="footer" w:qFormat="1"/>
    <w:lsdException w:name="caption" w:semiHidden="1" w:unhideWhenUsed="1" w:qFormat="1"/>
    <w:lsdException w:name="footnote reference" w:qFormat="1"/>
    <w:lsdException w:name="annotation reference" w:qFormat="1"/>
    <w:lsdException w:name="Title" w:uiPriority="99" w:qFormat="1"/>
    <w:lsdException w:name="Default Paragraph Font" w:semiHidden="1" w:uiPriority="1" w:unhideWhenUsed="1"/>
    <w:lsdException w:name="Body Text" w:semiHidden="1" w:uiPriority="99" w:unhideWhenUsed="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60" w:line="259" w:lineRule="auto"/>
    </w:pPr>
    <w:rPr>
      <w:rFonts w:asciiTheme="minorHAnsi" w:eastAsiaTheme="minorEastAsia" w:hAnsiTheme="minorHAnsi" w:cstheme="minorBidi"/>
      <w:lang w:val="en-US" w:eastAsia="zh-CN"/>
    </w:rPr>
  </w:style>
  <w:style w:type="paragraph" w:styleId="Heading10">
    <w:name w:val="heading 1"/>
    <w:basedOn w:val="Heading1"/>
    <w:next w:val="Normal"/>
    <w:link w:val="Heading1Char"/>
    <w:qFormat/>
    <w:pPr>
      <w:keepNext/>
      <w:keepLines/>
      <w:spacing w:before="520" w:after="240"/>
      <w:jc w:val="both"/>
      <w:outlineLvl w:val="0"/>
    </w:pPr>
    <w:rPr>
      <w:szCs w:val="40"/>
    </w:rPr>
  </w:style>
  <w:style w:type="paragraph" w:styleId="Heading2">
    <w:name w:val="heading 2"/>
    <w:next w:val="Normal"/>
    <w:unhideWhenUsed/>
    <w:qFormat/>
    <w:pPr>
      <w:spacing w:beforeAutospacing="1" w:after="0" w:afterAutospacing="1" w:line="259" w:lineRule="auto"/>
      <w:outlineLvl w:val="1"/>
    </w:pPr>
    <w:rPr>
      <w:rFonts w:ascii="SimSun" w:hAnsi="SimSun" w:hint="eastAsia"/>
      <w:b/>
      <w:bCs/>
      <w:sz w:val="36"/>
      <w:szCs w:val="36"/>
      <w:lang w:val="en-US" w:eastAsia="zh-CN"/>
    </w:rPr>
  </w:style>
  <w:style w:type="paragraph" w:styleId="Heading3">
    <w:name w:val="heading 3"/>
    <w:basedOn w:val="RGSLHeading3"/>
    <w:next w:val="Normal"/>
    <w:semiHidden/>
    <w:unhideWhenUsed/>
    <w:qFormat/>
    <w:pPr>
      <w:spacing w:beforeAutospacing="1" w:after="0" w:afterAutospacing="1"/>
      <w:outlineLvl w:val="2"/>
    </w:pPr>
    <w:rPr>
      <w:rFonts w:ascii="SimSun" w:eastAsia="SimSun" w:hAnsi="SimSun" w:cs="Times New Roman" w:hint="eastAsia"/>
      <w:sz w:val="27"/>
      <w:szCs w:val="27"/>
    </w:rPr>
  </w:style>
  <w:style w:type="paragraph" w:styleId="Heading4">
    <w:name w:val="heading 4"/>
    <w:basedOn w:val="Normal"/>
    <w:next w:val="Normal"/>
    <w:unhideWhenUsed/>
    <w:qFormat/>
    <w:pPr>
      <w:spacing w:beforeAutospacing="1" w:after="0" w:afterAutospacing="1"/>
      <w:outlineLvl w:val="3"/>
    </w:pPr>
    <w:rPr>
      <w:rFonts w:ascii="SimSun" w:eastAsia="SimSun" w:hAnsi="SimSun" w:cs="Times New Roman" w:hint="eastAsi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basedOn w:val="Heading3"/>
    <w:pPr>
      <w:numPr>
        <w:ilvl w:val="0"/>
      </w:numPr>
      <w:spacing w:before="560" w:after="280"/>
    </w:pPr>
    <w:rPr>
      <w:smallCaps/>
      <w:sz w:val="28"/>
    </w:rPr>
  </w:style>
  <w:style w:type="paragraph" w:customStyle="1" w:styleId="RGSLHeading3">
    <w:name w:val="RGSL_Heading3"/>
    <w:basedOn w:val="ListParagraph"/>
    <w:qFormat/>
    <w:pPr>
      <w:numPr>
        <w:ilvl w:val="2"/>
        <w:numId w:val="1"/>
      </w:numPr>
      <w:spacing w:before="240" w:after="240"/>
      <w:ind w:left="1287" w:hanging="720"/>
    </w:pPr>
    <w:rPr>
      <w:rFonts w:cs="Tahoma"/>
      <w:b/>
      <w:bCs/>
    </w:rPr>
  </w:style>
  <w:style w:type="paragraph" w:styleId="ListParagraph">
    <w:name w:val="List Paragraph"/>
    <w:basedOn w:val="Normal"/>
    <w:uiPriority w:val="34"/>
    <w:qFormat/>
    <w:pPr>
      <w:ind w:left="720"/>
      <w:contextualSpacing/>
    </w:pPr>
  </w:style>
  <w:style w:type="paragraph" w:styleId="BodyText">
    <w:name w:val="Body Text"/>
    <w:basedOn w:val="Normal"/>
    <w:uiPriority w:val="99"/>
    <w:semiHidden/>
    <w:unhideWhenUsed/>
    <w:pPr>
      <w:spacing w:after="120"/>
    </w:pPr>
  </w:style>
  <w:style w:type="paragraph" w:styleId="CommentText">
    <w:name w:val="annotation text"/>
    <w:basedOn w:val="Normal"/>
    <w:link w:val="CommentTextChar"/>
    <w:qFormat/>
    <w:pPr>
      <w:spacing w:line="240" w:lineRule="auto"/>
    </w:pPr>
  </w:style>
  <w:style w:type="paragraph" w:styleId="CommentSubject">
    <w:name w:val="annotation subject"/>
    <w:basedOn w:val="CommentText"/>
    <w:next w:val="CommentText"/>
    <w:link w:val="CommentSubjectChar"/>
    <w:qFormat/>
    <w:rPr>
      <w:b/>
      <w:bCs/>
    </w:rPr>
  </w:style>
  <w:style w:type="paragraph" w:styleId="Footer">
    <w:name w:val="footer"/>
    <w:basedOn w:val="Normal"/>
    <w:qFormat/>
    <w:pPr>
      <w:tabs>
        <w:tab w:val="center" w:pos="4153"/>
        <w:tab w:val="right" w:pos="8306"/>
      </w:tabs>
      <w:snapToGrid w:val="0"/>
    </w:pPr>
    <w:rPr>
      <w:sz w:val="18"/>
      <w:szCs w:val="18"/>
    </w:rPr>
  </w:style>
  <w:style w:type="paragraph" w:styleId="FootnoteText">
    <w:name w:val="footnote text"/>
    <w:basedOn w:val="Normal"/>
    <w:qFormat/>
    <w:pPr>
      <w:snapToGrid w:val="0"/>
    </w:pPr>
    <w:rPr>
      <w:sz w:val="18"/>
      <w:szCs w:val="18"/>
    </w:rPr>
  </w:style>
  <w:style w:type="paragraph" w:styleId="Header">
    <w:name w:val="header"/>
    <w:basedOn w:val="Normal"/>
    <w:qFormat/>
    <w:pPr>
      <w:tabs>
        <w:tab w:val="center" w:pos="4153"/>
        <w:tab w:val="right" w:pos="8306"/>
      </w:tabs>
      <w:snapToGrid w:val="0"/>
    </w:pPr>
    <w:rPr>
      <w:sz w:val="18"/>
      <w:szCs w:val="18"/>
    </w:rPr>
  </w:style>
  <w:style w:type="paragraph" w:styleId="NormalWeb">
    <w:name w:val="Normal (Web)"/>
    <w:qFormat/>
    <w:pPr>
      <w:spacing w:beforeAutospacing="1" w:after="0" w:afterAutospacing="1" w:line="259" w:lineRule="auto"/>
    </w:pPr>
    <w:rPr>
      <w:sz w:val="24"/>
      <w:szCs w:val="24"/>
      <w:lang w:val="en-US" w:eastAsia="zh-CN"/>
    </w:rPr>
  </w:style>
  <w:style w:type="paragraph" w:styleId="Title">
    <w:name w:val="Title"/>
    <w:basedOn w:val="Normal"/>
    <w:uiPriority w:val="99"/>
    <w:qFormat/>
    <w:pPr>
      <w:spacing w:before="1080" w:after="720"/>
      <w:jc w:val="center"/>
    </w:pPr>
    <w:rPr>
      <w:b/>
      <w:sz w:val="44"/>
      <w:szCs w:val="44"/>
    </w:rPr>
  </w:style>
  <w:style w:type="paragraph" w:styleId="TOC1">
    <w:name w:val="toc 1"/>
    <w:basedOn w:val="Normal"/>
    <w:next w:val="Normal"/>
    <w:qFormat/>
  </w:style>
  <w:style w:type="paragraph" w:styleId="TOC2">
    <w:name w:val="toc 2"/>
    <w:basedOn w:val="Normal"/>
    <w:next w:val="Normal"/>
    <w:pPr>
      <w:ind w:leftChars="200" w:left="420"/>
    </w:pPr>
  </w:style>
  <w:style w:type="paragraph" w:styleId="TOC3">
    <w:name w:val="toc 3"/>
    <w:basedOn w:val="Normal"/>
    <w:next w:val="Normal"/>
    <w:qFormat/>
    <w:pPr>
      <w:ind w:leftChars="400" w:left="840"/>
    </w:pPr>
  </w:style>
  <w:style w:type="character" w:styleId="CommentReference">
    <w:name w:val="annotation reference"/>
    <w:basedOn w:val="DefaultParagraphFont"/>
    <w:qFormat/>
    <w:rPr>
      <w:sz w:val="16"/>
      <w:szCs w:val="16"/>
    </w:rPr>
  </w:style>
  <w:style w:type="character" w:styleId="Emphasis">
    <w:name w:val="Emphasis"/>
    <w:basedOn w:val="DefaultParagraphFont"/>
    <w:qFormat/>
    <w:rPr>
      <w:i/>
      <w:iCs/>
    </w:rPr>
  </w:style>
  <w:style w:type="character" w:styleId="FollowedHyperlink">
    <w:name w:val="FollowedHyperlink"/>
    <w:basedOn w:val="DefaultParagraphFont"/>
    <w:qFormat/>
    <w:rPr>
      <w:color w:val="800080"/>
      <w:u w:val="single"/>
    </w:rPr>
  </w:style>
  <w:style w:type="character" w:styleId="FootnoteReference">
    <w:name w:val="footnote reference"/>
    <w:basedOn w:val="DefaultParagraphFont"/>
    <w:qFormat/>
    <w:rPr>
      <w:vertAlign w:val="superscript"/>
    </w:rPr>
  </w:style>
  <w:style w:type="character" w:styleId="Hyperlink">
    <w:name w:val="Hyperlink"/>
    <w:basedOn w:val="DefaultParagraphFont"/>
    <w:qFormat/>
    <w:rPr>
      <w:color w:val="0000FF"/>
      <w:u w:val="single"/>
    </w:rPr>
  </w:style>
  <w:style w:type="character" w:styleId="Strong">
    <w:name w:val="Strong"/>
    <w:basedOn w:val="DefaultParagraphFont"/>
    <w:qFormat/>
    <w:rPr>
      <w:b/>
      <w:bCs/>
    </w:rPr>
  </w:style>
  <w:style w:type="paragraph" w:customStyle="1" w:styleId="RGSLReference">
    <w:name w:val="RGSL Reference"/>
    <w:basedOn w:val="FootnoteText"/>
    <w:next w:val="FootnoteText"/>
    <w:link w:val="RGSLReferenceChar"/>
    <w:qFormat/>
    <w:pPr>
      <w:spacing w:before="120" w:after="120"/>
      <w:jc w:val="both"/>
    </w:pPr>
    <w:rPr>
      <w:rFonts w:ascii="Times New Roman" w:hAnsi="Times New Roman"/>
      <w:sz w:val="20"/>
    </w:rPr>
  </w:style>
  <w:style w:type="paragraph" w:customStyle="1" w:styleId="Perfectregulartext">
    <w:name w:val="Perfect regular text"/>
    <w:basedOn w:val="Normal"/>
    <w:qFormat/>
    <w:pPr>
      <w:spacing w:before="240" w:after="240" w:line="360" w:lineRule="auto"/>
      <w:jc w:val="both"/>
    </w:pPr>
    <w:rPr>
      <w:sz w:val="24"/>
    </w:rPr>
  </w:style>
  <w:style w:type="character" w:customStyle="1" w:styleId="SubtleEmphasis1">
    <w:name w:val="Subtle Emphasis1"/>
    <w:basedOn w:val="DefaultParagraphFont"/>
    <w:uiPriority w:val="19"/>
    <w:qFormat/>
    <w:rPr>
      <w:i/>
      <w:iCs/>
      <w:color w:val="404040" w:themeColor="text1" w:themeTint="BF"/>
    </w:rPr>
  </w:style>
  <w:style w:type="paragraph" w:customStyle="1" w:styleId="WPSOfficeManualTable1">
    <w:name w:val="WPSOffice Manual Table 1"/>
    <w:qFormat/>
    <w:pPr>
      <w:spacing w:after="160" w:line="259" w:lineRule="auto"/>
    </w:pPr>
  </w:style>
  <w:style w:type="character" w:customStyle="1" w:styleId="Heading1Char">
    <w:name w:val="Heading 1 Char"/>
    <w:link w:val="Heading10"/>
    <w:qFormat/>
    <w:rPr>
      <w:rFonts w:asciiTheme="minorHAnsi" w:hAnsiTheme="minorHAnsi"/>
      <w:b/>
      <w:sz w:val="28"/>
      <w:szCs w:val="40"/>
    </w:rPr>
  </w:style>
  <w:style w:type="paragraph" w:customStyle="1" w:styleId="RGSLBodywithindentation">
    <w:name w:val="RGSL Body with indentation"/>
    <w:basedOn w:val="RGSLBodywithoutindentation"/>
    <w:qFormat/>
    <w:pPr>
      <w:ind w:firstLine="720"/>
    </w:pPr>
    <w:rPr>
      <w:rFonts w:eastAsiaTheme="majorEastAsia" w:cs="Tahoma"/>
      <w:color w:val="000000" w:themeColor="text1"/>
      <w:szCs w:val="28"/>
      <w:lang w:val="en-US"/>
    </w:rPr>
  </w:style>
  <w:style w:type="paragraph" w:customStyle="1" w:styleId="RGSLBodywithoutindentation">
    <w:name w:val="RGSL Body without indentation_"/>
    <w:qFormat/>
    <w:pPr>
      <w:spacing w:after="120" w:line="300" w:lineRule="exact"/>
      <w:jc w:val="both"/>
    </w:pPr>
    <w:rPr>
      <w:rFonts w:eastAsia="Arial" w:cs="Arial"/>
      <w:sz w:val="24"/>
      <w:szCs w:val="22"/>
      <w:lang w:val="ru" w:eastAsia="ru-RU"/>
    </w:rPr>
  </w:style>
  <w:style w:type="paragraph" w:customStyle="1" w:styleId="RGSLQuotes">
    <w:name w:val="RGSL Quotes_"/>
    <w:basedOn w:val="Normal"/>
    <w:next w:val="Normal"/>
    <w:qFormat/>
    <w:pPr>
      <w:spacing w:before="120" w:after="120" w:line="240" w:lineRule="auto"/>
      <w:ind w:left="709" w:right="709"/>
      <w:jc w:val="both"/>
    </w:pPr>
    <w:rPr>
      <w:rFonts w:ascii="Times New Roman" w:hAnsi="Times New Roman"/>
      <w:lang w:val="ru-RU"/>
    </w:rPr>
  </w:style>
  <w:style w:type="paragraph" w:customStyle="1" w:styleId="RGSLHeading10">
    <w:name w:val="RGSL Heading 1"/>
    <w:basedOn w:val="Heading10"/>
    <w:qFormat/>
    <w:pPr>
      <w:spacing w:before="560" w:after="280"/>
      <w:ind w:left="1287" w:hanging="720"/>
    </w:pPr>
    <w:rPr>
      <w:rFonts w:cs="Tahoma"/>
      <w:szCs w:val="28"/>
    </w:rPr>
  </w:style>
  <w:style w:type="paragraph" w:customStyle="1" w:styleId="RGSLHeading2">
    <w:name w:val="RGSL Heading 2"/>
    <w:basedOn w:val="RGSLHeading10"/>
    <w:qFormat/>
    <w:pPr>
      <w:spacing w:before="280"/>
    </w:pPr>
  </w:style>
  <w:style w:type="paragraph" w:customStyle="1" w:styleId="RGSLHeading30">
    <w:name w:val="RGSL Heading 3"/>
    <w:basedOn w:val="RGSLHeading2"/>
    <w:qFormat/>
    <w:pPr>
      <w:spacing w:before="240" w:after="240"/>
    </w:pPr>
    <w:rPr>
      <w:sz w:val="24"/>
    </w:rPr>
  </w:style>
  <w:style w:type="paragraph" w:customStyle="1" w:styleId="RGSLheading11">
    <w:name w:val="RGSL heading 1"/>
    <w:basedOn w:val="Heading10"/>
    <w:qFormat/>
    <w:pPr>
      <w:spacing w:before="560" w:after="280"/>
      <w:ind w:left="1287" w:hanging="720"/>
    </w:pPr>
    <w:rPr>
      <w:rFonts w:cs="Tahoma"/>
      <w:szCs w:val="28"/>
    </w:rPr>
  </w:style>
  <w:style w:type="character" w:customStyle="1" w:styleId="CommentTextChar">
    <w:name w:val="Comment Text Char"/>
    <w:basedOn w:val="DefaultParagraphFont"/>
    <w:link w:val="CommentText"/>
    <w:qFormat/>
    <w:rPr>
      <w:rFonts w:asciiTheme="minorHAnsi" w:eastAsiaTheme="minorEastAsia" w:hAnsiTheme="minorHAnsi" w:cstheme="minorBidi"/>
      <w:lang w:val="en-US" w:eastAsia="zh-CN"/>
    </w:rPr>
  </w:style>
  <w:style w:type="character" w:customStyle="1" w:styleId="CommentSubjectChar">
    <w:name w:val="Comment Subject Char"/>
    <w:basedOn w:val="CommentTextChar"/>
    <w:link w:val="CommentSubject"/>
    <w:qFormat/>
    <w:rPr>
      <w:rFonts w:asciiTheme="minorHAnsi" w:eastAsiaTheme="minorEastAsia" w:hAnsiTheme="minorHAnsi" w:cstheme="minorBidi"/>
      <w:b/>
      <w:bCs/>
      <w:lang w:val="en-US" w:eastAsia="zh-CN"/>
    </w:rPr>
  </w:style>
  <w:style w:type="character" w:customStyle="1" w:styleId="RGSLReferenceChar">
    <w:name w:val="RGSL Reference Char"/>
    <w:link w:val="RGSLReference"/>
    <w:qFormat/>
    <w:rPr>
      <w:rFonts w:ascii="Times New Roman" w:hAnsi="Times New Roman"/>
      <w:sz w:val="20"/>
    </w:rPr>
  </w:style>
  <w:style w:type="paragraph" w:customStyle="1" w:styleId="RGSLFootnotes">
    <w:name w:val="RGSL Footnotes"/>
    <w:qFormat/>
    <w:pPr>
      <w:spacing w:after="0" w:line="240" w:lineRule="auto"/>
      <w:jc w:val="both"/>
    </w:pPr>
    <w:rPr>
      <w:rFonts w:eastAsiaTheme="majorEastAsia" w:cs="Tahoma"/>
      <w:color w:val="000000" w:themeColor="text1"/>
      <w:szCs w:val="28"/>
      <w:lang w:val="en-US" w:eastAsia="ru-RU"/>
    </w:rPr>
  </w:style>
  <w:style w:type="paragraph" w:customStyle="1" w:styleId="RGSLQuote">
    <w:name w:val="RGSL_Quote"/>
    <w:basedOn w:val="Normal"/>
    <w:qFormat/>
    <w:pPr>
      <w:spacing w:before="120" w:after="120"/>
      <w:ind w:left="709" w:right="709"/>
    </w:pPr>
    <w:rPr>
      <w:sz w:val="22"/>
    </w:rPr>
  </w:style>
  <w:style w:type="paragraph" w:customStyle="1" w:styleId="RGSLNormal">
    <w:name w:val="RGSL_Normal"/>
    <w:basedOn w:val="Normal"/>
    <w:next w:val="Normal"/>
    <w:qFormat/>
    <w:pPr>
      <w:spacing w:after="120" w:line="300" w:lineRule="exact"/>
    </w:pPr>
  </w:style>
  <w:style w:type="paragraph" w:customStyle="1" w:styleId="RGSLNormalwithindentation">
    <w:name w:val="RGSL_Normal with indentation"/>
    <w:basedOn w:val="RGSLNormal"/>
    <w:qFormat/>
    <w:pPr>
      <w:ind w:firstLine="720"/>
    </w:pPr>
  </w:style>
  <w:style w:type="paragraph" w:customStyle="1" w:styleId="RGSLHeading1">
    <w:name w:val="RGSL_Heading1"/>
    <w:basedOn w:val="Heading10"/>
    <w:qFormat/>
    <w:pPr>
      <w:numPr>
        <w:numId w:val="2"/>
      </w:numPr>
      <w:ind w:hanging="720"/>
    </w:pPr>
  </w:style>
  <w:style w:type="paragraph" w:styleId="BalloonText">
    <w:name w:val="Balloon Text"/>
    <w:basedOn w:val="Normal"/>
    <w:link w:val="BalloonTextChar"/>
    <w:rsid w:val="008C01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8C0147"/>
    <w:rPr>
      <w:rFonts w:ascii="Tahoma" w:eastAsiaTheme="minorEastAsia" w:hAnsi="Tahoma" w:cs="Tahoma"/>
      <w:sz w:val="16"/>
      <w:szCs w:val="16"/>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lv-LV" w:eastAsia="lv-LV"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3" w:qFormat="1"/>
    <w:lsdException w:name="footnote text" w:qFormat="1"/>
    <w:lsdException w:name="annotation text" w:qFormat="1"/>
    <w:lsdException w:name="header" w:qFormat="1"/>
    <w:lsdException w:name="footer" w:qFormat="1"/>
    <w:lsdException w:name="caption" w:semiHidden="1" w:unhideWhenUsed="1" w:qFormat="1"/>
    <w:lsdException w:name="footnote reference" w:qFormat="1"/>
    <w:lsdException w:name="annotation reference" w:qFormat="1"/>
    <w:lsdException w:name="Title" w:uiPriority="99" w:qFormat="1"/>
    <w:lsdException w:name="Default Paragraph Font" w:semiHidden="1" w:uiPriority="1" w:unhideWhenUsed="1"/>
    <w:lsdException w:name="Body Text" w:semiHidden="1" w:uiPriority="99" w:unhideWhenUsed="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60" w:line="259" w:lineRule="auto"/>
    </w:pPr>
    <w:rPr>
      <w:rFonts w:asciiTheme="minorHAnsi" w:eastAsiaTheme="minorEastAsia" w:hAnsiTheme="minorHAnsi" w:cstheme="minorBidi"/>
      <w:lang w:val="en-US" w:eastAsia="zh-CN"/>
    </w:rPr>
  </w:style>
  <w:style w:type="paragraph" w:styleId="Heading10">
    <w:name w:val="heading 1"/>
    <w:basedOn w:val="Heading1"/>
    <w:next w:val="Normal"/>
    <w:link w:val="Heading1Char"/>
    <w:qFormat/>
    <w:pPr>
      <w:keepNext/>
      <w:keepLines/>
      <w:spacing w:before="520" w:after="240"/>
      <w:jc w:val="both"/>
      <w:outlineLvl w:val="0"/>
    </w:pPr>
    <w:rPr>
      <w:szCs w:val="40"/>
    </w:rPr>
  </w:style>
  <w:style w:type="paragraph" w:styleId="Heading2">
    <w:name w:val="heading 2"/>
    <w:next w:val="Normal"/>
    <w:unhideWhenUsed/>
    <w:qFormat/>
    <w:pPr>
      <w:spacing w:beforeAutospacing="1" w:after="0" w:afterAutospacing="1" w:line="259" w:lineRule="auto"/>
      <w:outlineLvl w:val="1"/>
    </w:pPr>
    <w:rPr>
      <w:rFonts w:ascii="SimSun" w:hAnsi="SimSun" w:hint="eastAsia"/>
      <w:b/>
      <w:bCs/>
      <w:sz w:val="36"/>
      <w:szCs w:val="36"/>
      <w:lang w:val="en-US" w:eastAsia="zh-CN"/>
    </w:rPr>
  </w:style>
  <w:style w:type="paragraph" w:styleId="Heading3">
    <w:name w:val="heading 3"/>
    <w:basedOn w:val="RGSLHeading3"/>
    <w:next w:val="Normal"/>
    <w:semiHidden/>
    <w:unhideWhenUsed/>
    <w:qFormat/>
    <w:pPr>
      <w:spacing w:beforeAutospacing="1" w:after="0" w:afterAutospacing="1"/>
      <w:outlineLvl w:val="2"/>
    </w:pPr>
    <w:rPr>
      <w:rFonts w:ascii="SimSun" w:eastAsia="SimSun" w:hAnsi="SimSun" w:cs="Times New Roman" w:hint="eastAsia"/>
      <w:sz w:val="27"/>
      <w:szCs w:val="27"/>
    </w:rPr>
  </w:style>
  <w:style w:type="paragraph" w:styleId="Heading4">
    <w:name w:val="heading 4"/>
    <w:basedOn w:val="Normal"/>
    <w:next w:val="Normal"/>
    <w:unhideWhenUsed/>
    <w:qFormat/>
    <w:pPr>
      <w:spacing w:beforeAutospacing="1" w:after="0" w:afterAutospacing="1"/>
      <w:outlineLvl w:val="3"/>
    </w:pPr>
    <w:rPr>
      <w:rFonts w:ascii="SimSun" w:eastAsia="SimSun" w:hAnsi="SimSun" w:cs="Times New Roman" w:hint="eastAsi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basedOn w:val="Heading3"/>
    <w:pPr>
      <w:numPr>
        <w:ilvl w:val="0"/>
      </w:numPr>
      <w:spacing w:before="560" w:after="280"/>
    </w:pPr>
    <w:rPr>
      <w:smallCaps/>
      <w:sz w:val="28"/>
    </w:rPr>
  </w:style>
  <w:style w:type="paragraph" w:customStyle="1" w:styleId="RGSLHeading3">
    <w:name w:val="RGSL_Heading3"/>
    <w:basedOn w:val="ListParagraph"/>
    <w:qFormat/>
    <w:pPr>
      <w:numPr>
        <w:ilvl w:val="2"/>
        <w:numId w:val="1"/>
      </w:numPr>
      <w:spacing w:before="240" w:after="240"/>
      <w:ind w:left="1287" w:hanging="720"/>
    </w:pPr>
    <w:rPr>
      <w:rFonts w:cs="Tahoma"/>
      <w:b/>
      <w:bCs/>
    </w:rPr>
  </w:style>
  <w:style w:type="paragraph" w:styleId="ListParagraph">
    <w:name w:val="List Paragraph"/>
    <w:basedOn w:val="Normal"/>
    <w:uiPriority w:val="34"/>
    <w:qFormat/>
    <w:pPr>
      <w:ind w:left="720"/>
      <w:contextualSpacing/>
    </w:pPr>
  </w:style>
  <w:style w:type="paragraph" w:styleId="BodyText">
    <w:name w:val="Body Text"/>
    <w:basedOn w:val="Normal"/>
    <w:uiPriority w:val="99"/>
    <w:semiHidden/>
    <w:unhideWhenUsed/>
    <w:pPr>
      <w:spacing w:after="120"/>
    </w:pPr>
  </w:style>
  <w:style w:type="paragraph" w:styleId="CommentText">
    <w:name w:val="annotation text"/>
    <w:basedOn w:val="Normal"/>
    <w:link w:val="CommentTextChar"/>
    <w:qFormat/>
    <w:pPr>
      <w:spacing w:line="240" w:lineRule="auto"/>
    </w:pPr>
  </w:style>
  <w:style w:type="paragraph" w:styleId="CommentSubject">
    <w:name w:val="annotation subject"/>
    <w:basedOn w:val="CommentText"/>
    <w:next w:val="CommentText"/>
    <w:link w:val="CommentSubjectChar"/>
    <w:qFormat/>
    <w:rPr>
      <w:b/>
      <w:bCs/>
    </w:rPr>
  </w:style>
  <w:style w:type="paragraph" w:styleId="Footer">
    <w:name w:val="footer"/>
    <w:basedOn w:val="Normal"/>
    <w:qFormat/>
    <w:pPr>
      <w:tabs>
        <w:tab w:val="center" w:pos="4153"/>
        <w:tab w:val="right" w:pos="8306"/>
      </w:tabs>
      <w:snapToGrid w:val="0"/>
    </w:pPr>
    <w:rPr>
      <w:sz w:val="18"/>
      <w:szCs w:val="18"/>
    </w:rPr>
  </w:style>
  <w:style w:type="paragraph" w:styleId="FootnoteText">
    <w:name w:val="footnote text"/>
    <w:basedOn w:val="Normal"/>
    <w:qFormat/>
    <w:pPr>
      <w:snapToGrid w:val="0"/>
    </w:pPr>
    <w:rPr>
      <w:sz w:val="18"/>
      <w:szCs w:val="18"/>
    </w:rPr>
  </w:style>
  <w:style w:type="paragraph" w:styleId="Header">
    <w:name w:val="header"/>
    <w:basedOn w:val="Normal"/>
    <w:qFormat/>
    <w:pPr>
      <w:tabs>
        <w:tab w:val="center" w:pos="4153"/>
        <w:tab w:val="right" w:pos="8306"/>
      </w:tabs>
      <w:snapToGrid w:val="0"/>
    </w:pPr>
    <w:rPr>
      <w:sz w:val="18"/>
      <w:szCs w:val="18"/>
    </w:rPr>
  </w:style>
  <w:style w:type="paragraph" w:styleId="NormalWeb">
    <w:name w:val="Normal (Web)"/>
    <w:qFormat/>
    <w:pPr>
      <w:spacing w:beforeAutospacing="1" w:after="0" w:afterAutospacing="1" w:line="259" w:lineRule="auto"/>
    </w:pPr>
    <w:rPr>
      <w:sz w:val="24"/>
      <w:szCs w:val="24"/>
      <w:lang w:val="en-US" w:eastAsia="zh-CN"/>
    </w:rPr>
  </w:style>
  <w:style w:type="paragraph" w:styleId="Title">
    <w:name w:val="Title"/>
    <w:basedOn w:val="Normal"/>
    <w:uiPriority w:val="99"/>
    <w:qFormat/>
    <w:pPr>
      <w:spacing w:before="1080" w:after="720"/>
      <w:jc w:val="center"/>
    </w:pPr>
    <w:rPr>
      <w:b/>
      <w:sz w:val="44"/>
      <w:szCs w:val="44"/>
    </w:rPr>
  </w:style>
  <w:style w:type="paragraph" w:styleId="TOC1">
    <w:name w:val="toc 1"/>
    <w:basedOn w:val="Normal"/>
    <w:next w:val="Normal"/>
    <w:qFormat/>
  </w:style>
  <w:style w:type="paragraph" w:styleId="TOC2">
    <w:name w:val="toc 2"/>
    <w:basedOn w:val="Normal"/>
    <w:next w:val="Normal"/>
    <w:pPr>
      <w:ind w:leftChars="200" w:left="420"/>
    </w:pPr>
  </w:style>
  <w:style w:type="paragraph" w:styleId="TOC3">
    <w:name w:val="toc 3"/>
    <w:basedOn w:val="Normal"/>
    <w:next w:val="Normal"/>
    <w:qFormat/>
    <w:pPr>
      <w:ind w:leftChars="400" w:left="840"/>
    </w:pPr>
  </w:style>
  <w:style w:type="character" w:styleId="CommentReference">
    <w:name w:val="annotation reference"/>
    <w:basedOn w:val="DefaultParagraphFont"/>
    <w:qFormat/>
    <w:rPr>
      <w:sz w:val="16"/>
      <w:szCs w:val="16"/>
    </w:rPr>
  </w:style>
  <w:style w:type="character" w:styleId="Emphasis">
    <w:name w:val="Emphasis"/>
    <w:basedOn w:val="DefaultParagraphFont"/>
    <w:qFormat/>
    <w:rPr>
      <w:i/>
      <w:iCs/>
    </w:rPr>
  </w:style>
  <w:style w:type="character" w:styleId="FollowedHyperlink">
    <w:name w:val="FollowedHyperlink"/>
    <w:basedOn w:val="DefaultParagraphFont"/>
    <w:qFormat/>
    <w:rPr>
      <w:color w:val="800080"/>
      <w:u w:val="single"/>
    </w:rPr>
  </w:style>
  <w:style w:type="character" w:styleId="FootnoteReference">
    <w:name w:val="footnote reference"/>
    <w:basedOn w:val="DefaultParagraphFont"/>
    <w:qFormat/>
    <w:rPr>
      <w:vertAlign w:val="superscript"/>
    </w:rPr>
  </w:style>
  <w:style w:type="character" w:styleId="Hyperlink">
    <w:name w:val="Hyperlink"/>
    <w:basedOn w:val="DefaultParagraphFont"/>
    <w:qFormat/>
    <w:rPr>
      <w:color w:val="0000FF"/>
      <w:u w:val="single"/>
    </w:rPr>
  </w:style>
  <w:style w:type="character" w:styleId="Strong">
    <w:name w:val="Strong"/>
    <w:basedOn w:val="DefaultParagraphFont"/>
    <w:qFormat/>
    <w:rPr>
      <w:b/>
      <w:bCs/>
    </w:rPr>
  </w:style>
  <w:style w:type="paragraph" w:customStyle="1" w:styleId="RGSLReference">
    <w:name w:val="RGSL Reference"/>
    <w:basedOn w:val="FootnoteText"/>
    <w:next w:val="FootnoteText"/>
    <w:link w:val="RGSLReferenceChar"/>
    <w:qFormat/>
    <w:pPr>
      <w:spacing w:before="120" w:after="120"/>
      <w:jc w:val="both"/>
    </w:pPr>
    <w:rPr>
      <w:rFonts w:ascii="Times New Roman" w:hAnsi="Times New Roman"/>
      <w:sz w:val="20"/>
    </w:rPr>
  </w:style>
  <w:style w:type="paragraph" w:customStyle="1" w:styleId="Perfectregulartext">
    <w:name w:val="Perfect regular text"/>
    <w:basedOn w:val="Normal"/>
    <w:qFormat/>
    <w:pPr>
      <w:spacing w:before="240" w:after="240" w:line="360" w:lineRule="auto"/>
      <w:jc w:val="both"/>
    </w:pPr>
    <w:rPr>
      <w:sz w:val="24"/>
    </w:rPr>
  </w:style>
  <w:style w:type="character" w:customStyle="1" w:styleId="SubtleEmphasis1">
    <w:name w:val="Subtle Emphasis1"/>
    <w:basedOn w:val="DefaultParagraphFont"/>
    <w:uiPriority w:val="19"/>
    <w:qFormat/>
    <w:rPr>
      <w:i/>
      <w:iCs/>
      <w:color w:val="404040" w:themeColor="text1" w:themeTint="BF"/>
    </w:rPr>
  </w:style>
  <w:style w:type="paragraph" w:customStyle="1" w:styleId="WPSOfficeManualTable1">
    <w:name w:val="WPSOffice Manual Table 1"/>
    <w:qFormat/>
    <w:pPr>
      <w:spacing w:after="160" w:line="259" w:lineRule="auto"/>
    </w:pPr>
  </w:style>
  <w:style w:type="character" w:customStyle="1" w:styleId="Heading1Char">
    <w:name w:val="Heading 1 Char"/>
    <w:link w:val="Heading10"/>
    <w:qFormat/>
    <w:rPr>
      <w:rFonts w:asciiTheme="minorHAnsi" w:hAnsiTheme="minorHAnsi"/>
      <w:b/>
      <w:sz w:val="28"/>
      <w:szCs w:val="40"/>
    </w:rPr>
  </w:style>
  <w:style w:type="paragraph" w:customStyle="1" w:styleId="RGSLBodywithindentation">
    <w:name w:val="RGSL Body with indentation"/>
    <w:basedOn w:val="RGSLBodywithoutindentation"/>
    <w:qFormat/>
    <w:pPr>
      <w:ind w:firstLine="720"/>
    </w:pPr>
    <w:rPr>
      <w:rFonts w:eastAsiaTheme="majorEastAsia" w:cs="Tahoma"/>
      <w:color w:val="000000" w:themeColor="text1"/>
      <w:szCs w:val="28"/>
      <w:lang w:val="en-US"/>
    </w:rPr>
  </w:style>
  <w:style w:type="paragraph" w:customStyle="1" w:styleId="RGSLBodywithoutindentation">
    <w:name w:val="RGSL Body without indentation_"/>
    <w:qFormat/>
    <w:pPr>
      <w:spacing w:after="120" w:line="300" w:lineRule="exact"/>
      <w:jc w:val="both"/>
    </w:pPr>
    <w:rPr>
      <w:rFonts w:eastAsia="Arial" w:cs="Arial"/>
      <w:sz w:val="24"/>
      <w:szCs w:val="22"/>
      <w:lang w:val="ru" w:eastAsia="ru-RU"/>
    </w:rPr>
  </w:style>
  <w:style w:type="paragraph" w:customStyle="1" w:styleId="RGSLQuotes">
    <w:name w:val="RGSL Quotes_"/>
    <w:basedOn w:val="Normal"/>
    <w:next w:val="Normal"/>
    <w:qFormat/>
    <w:pPr>
      <w:spacing w:before="120" w:after="120" w:line="240" w:lineRule="auto"/>
      <w:ind w:left="709" w:right="709"/>
      <w:jc w:val="both"/>
    </w:pPr>
    <w:rPr>
      <w:rFonts w:ascii="Times New Roman" w:hAnsi="Times New Roman"/>
      <w:lang w:val="ru-RU"/>
    </w:rPr>
  </w:style>
  <w:style w:type="paragraph" w:customStyle="1" w:styleId="RGSLHeading10">
    <w:name w:val="RGSL Heading 1"/>
    <w:basedOn w:val="Heading10"/>
    <w:qFormat/>
    <w:pPr>
      <w:spacing w:before="560" w:after="280"/>
      <w:ind w:left="1287" w:hanging="720"/>
    </w:pPr>
    <w:rPr>
      <w:rFonts w:cs="Tahoma"/>
      <w:szCs w:val="28"/>
    </w:rPr>
  </w:style>
  <w:style w:type="paragraph" w:customStyle="1" w:styleId="RGSLHeading2">
    <w:name w:val="RGSL Heading 2"/>
    <w:basedOn w:val="RGSLHeading10"/>
    <w:qFormat/>
    <w:pPr>
      <w:spacing w:before="280"/>
    </w:pPr>
  </w:style>
  <w:style w:type="paragraph" w:customStyle="1" w:styleId="RGSLHeading30">
    <w:name w:val="RGSL Heading 3"/>
    <w:basedOn w:val="RGSLHeading2"/>
    <w:qFormat/>
    <w:pPr>
      <w:spacing w:before="240" w:after="240"/>
    </w:pPr>
    <w:rPr>
      <w:sz w:val="24"/>
    </w:rPr>
  </w:style>
  <w:style w:type="paragraph" w:customStyle="1" w:styleId="RGSLheading11">
    <w:name w:val="RGSL heading 1"/>
    <w:basedOn w:val="Heading10"/>
    <w:qFormat/>
    <w:pPr>
      <w:spacing w:before="560" w:after="280"/>
      <w:ind w:left="1287" w:hanging="720"/>
    </w:pPr>
    <w:rPr>
      <w:rFonts w:cs="Tahoma"/>
      <w:szCs w:val="28"/>
    </w:rPr>
  </w:style>
  <w:style w:type="character" w:customStyle="1" w:styleId="CommentTextChar">
    <w:name w:val="Comment Text Char"/>
    <w:basedOn w:val="DefaultParagraphFont"/>
    <w:link w:val="CommentText"/>
    <w:qFormat/>
    <w:rPr>
      <w:rFonts w:asciiTheme="minorHAnsi" w:eastAsiaTheme="minorEastAsia" w:hAnsiTheme="minorHAnsi" w:cstheme="minorBidi"/>
      <w:lang w:val="en-US" w:eastAsia="zh-CN"/>
    </w:rPr>
  </w:style>
  <w:style w:type="character" w:customStyle="1" w:styleId="CommentSubjectChar">
    <w:name w:val="Comment Subject Char"/>
    <w:basedOn w:val="CommentTextChar"/>
    <w:link w:val="CommentSubject"/>
    <w:qFormat/>
    <w:rPr>
      <w:rFonts w:asciiTheme="minorHAnsi" w:eastAsiaTheme="minorEastAsia" w:hAnsiTheme="minorHAnsi" w:cstheme="minorBidi"/>
      <w:b/>
      <w:bCs/>
      <w:lang w:val="en-US" w:eastAsia="zh-CN"/>
    </w:rPr>
  </w:style>
  <w:style w:type="character" w:customStyle="1" w:styleId="RGSLReferenceChar">
    <w:name w:val="RGSL Reference Char"/>
    <w:link w:val="RGSLReference"/>
    <w:qFormat/>
    <w:rPr>
      <w:rFonts w:ascii="Times New Roman" w:hAnsi="Times New Roman"/>
      <w:sz w:val="20"/>
    </w:rPr>
  </w:style>
  <w:style w:type="paragraph" w:customStyle="1" w:styleId="RGSLFootnotes">
    <w:name w:val="RGSL Footnotes"/>
    <w:qFormat/>
    <w:pPr>
      <w:spacing w:after="0" w:line="240" w:lineRule="auto"/>
      <w:jc w:val="both"/>
    </w:pPr>
    <w:rPr>
      <w:rFonts w:eastAsiaTheme="majorEastAsia" w:cs="Tahoma"/>
      <w:color w:val="000000" w:themeColor="text1"/>
      <w:szCs w:val="28"/>
      <w:lang w:val="en-US" w:eastAsia="ru-RU"/>
    </w:rPr>
  </w:style>
  <w:style w:type="paragraph" w:customStyle="1" w:styleId="RGSLQuote">
    <w:name w:val="RGSL_Quote"/>
    <w:basedOn w:val="Normal"/>
    <w:qFormat/>
    <w:pPr>
      <w:spacing w:before="120" w:after="120"/>
      <w:ind w:left="709" w:right="709"/>
    </w:pPr>
    <w:rPr>
      <w:sz w:val="22"/>
    </w:rPr>
  </w:style>
  <w:style w:type="paragraph" w:customStyle="1" w:styleId="RGSLNormal">
    <w:name w:val="RGSL_Normal"/>
    <w:basedOn w:val="Normal"/>
    <w:next w:val="Normal"/>
    <w:qFormat/>
    <w:pPr>
      <w:spacing w:after="120" w:line="300" w:lineRule="exact"/>
    </w:pPr>
  </w:style>
  <w:style w:type="paragraph" w:customStyle="1" w:styleId="RGSLNormalwithindentation">
    <w:name w:val="RGSL_Normal with indentation"/>
    <w:basedOn w:val="RGSLNormal"/>
    <w:qFormat/>
    <w:pPr>
      <w:ind w:firstLine="720"/>
    </w:pPr>
  </w:style>
  <w:style w:type="paragraph" w:customStyle="1" w:styleId="RGSLHeading1">
    <w:name w:val="RGSL_Heading1"/>
    <w:basedOn w:val="Heading10"/>
    <w:qFormat/>
    <w:pPr>
      <w:numPr>
        <w:numId w:val="2"/>
      </w:numPr>
      <w:ind w:hanging="720"/>
    </w:pPr>
  </w:style>
  <w:style w:type="paragraph" w:styleId="BalloonText">
    <w:name w:val="Balloon Text"/>
    <w:basedOn w:val="Normal"/>
    <w:link w:val="BalloonTextChar"/>
    <w:rsid w:val="008C01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8C0147"/>
    <w:rPr>
      <w:rFonts w:ascii="Tahoma" w:eastAsiaTheme="minorEastAsia" w:hAnsi="Tahoma" w:cs="Tahoma"/>
      <w:sz w:val="16"/>
      <w:szCs w:val="16"/>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1.next.westlaw.com/Document/IF02CA7A08E3511E99B808522AFECC67E/View/FullText.html?navigationPath=Search/v1/results/navigation/i0ad7403600000178a34f1835741705ac?ppcid=46e5438261b84eb58fb50ec3e8768263&amp;Nav=INTERNATIONAL-ANALYTICAL&amp;navQualifier=I0363b1e0a09611e28578f7ccc38dcbee&amp;listQualifier=I0363b1e0a09611e28578f7ccc38dcbee&amp;fragmentIdentifier=IF02CA7A08E3511E99B808522AFECC67E&amp;parentRank=0&amp;startIndex=1&amp;contextData=%28sc.Search%29&amp;transitionType=SearchItem&amp;listSource=Search&amp;listPageSource=511a4a3a6b697d8dc21d06a85266a787&amp;list=INTERNATIONAL-ANALYTICAL&amp;rank=1&amp;sessionScopeId=95ee8fa540446a3a559415bfc5854de20c63b8712ab6a7e87e227aeba4a11501&amp;ppcid=46e5438261b84eb58fb50ec3e8768263&amp;originationContext=Search%20Result&amp;transitionType=SearchItem&amp;contextData=(sc.Search)" TargetMode="External"/><Relationship Id="rId18" Type="http://schemas.openxmlformats.org/officeDocument/2006/relationships/hyperlink" Target="https://eur-lex.europa.eu/legal-content/EN/ALL/?uri=CELEX%3A32001L0097." TargetMode="External"/><Relationship Id="rId26" Type="http://schemas.openxmlformats.org/officeDocument/2006/relationships/hyperlink" Target="https://manas.tiesas.lv/eTiesasMvc/nolemumi/pdf/444984.pdf." TargetMode="External"/><Relationship Id="rId39" Type="http://schemas.openxmlformats.org/officeDocument/2006/relationships/hyperlink" Target="https://core.ac.uk/download/pdf/188582432.pdf," TargetMode="External"/><Relationship Id="rId3" Type="http://schemas.openxmlformats.org/officeDocument/2006/relationships/styles" Target="styles.xml"/><Relationship Id="rId21" Type="http://schemas.openxmlformats.org/officeDocument/2006/relationships/hyperlink" Target="https://likumi.lv/ta/en/en/id/47009." TargetMode="External"/><Relationship Id="rId34" Type="http://schemas.openxmlformats.org/officeDocument/2006/relationships/hyperlink" Target="https://www.fatf-gafi.org/media/fatf/documents/recommendations/pdfs/FATF%20Recommendations%201996.pdf." TargetMode="External"/><Relationship Id="rId42" Type="http://schemas.openxmlformats.org/officeDocument/2006/relationships/hyperlink" Target="https://www.loc.gov/law/foreign-news/article/european-union-5th-anti-money-laundering-directive-enters-into-force/." TargetMode="External"/><Relationship Id="rId7" Type="http://schemas.openxmlformats.org/officeDocument/2006/relationships/footnotes" Target="footnotes.xml"/><Relationship Id="rId12" Type="http://schemas.openxmlformats.org/officeDocument/2006/relationships/hyperlink" Target="https://1.next.westlaw.com/Document/IF02CA7A08E3511E99B808522AFECC67E/View/FullText.html?navigationPath=Search/v1/results/navigation/i0ad7403600000178a34f1835741705ac?ppcid=46e5438261b84eb58fb50ec3e8768263&amp;Nav=INTERNATIONAL-ANALYTICAL&amp;navQualifier=I0363b1e0a09611e28578f7ccc38dcbee&amp;listQualifier=I0363b1e0a09611e28578f7ccc38dcbee&amp;fragmentIdentifier=IF02CA7A08E3511E99B808522AFECC67E&amp;parentRank=0&amp;startIndex=1&amp;contextData=%28sc.Search%29&amp;transitionType=SearchItem&amp;listSource=Search&amp;listPageSource=511a4a3a6b697d8dc21d06a85266a787&amp;list=INTERNATIONAL-ANALYTICAL&amp;rank=1&amp;sessionScopeId=95ee8fa540446a3a559415bfc5854de20c63b8712ab6a7e87e227aeba4a11501&amp;ppcid=46e5438261b84eb58fb50ec3e8768263&amp;originationContext=Search%20Result&amp;transitionType=SearchItem&amp;contextData=(sc.Search)" TargetMode="External"/><Relationship Id="rId17" Type="http://schemas.openxmlformats.org/officeDocument/2006/relationships/hyperlink" Target="https://eur-lex.europa.eu/legal-content/EN/TXT/?uri=CELEX%3A32018L0843." TargetMode="External"/><Relationship Id="rId25" Type="http://schemas.openxmlformats.org/officeDocument/2006/relationships/hyperlink" Target="https://likumi.lv/ta/en/en/id/63545-state-administration-structure-law." TargetMode="External"/><Relationship Id="rId33" Type="http://schemas.openxmlformats.org/officeDocument/2006/relationships/hyperlink" Target="https://europa.eu/european-union/topics/trade_en." TargetMode="External"/><Relationship Id="rId38" Type="http://schemas.openxmlformats.org/officeDocument/2006/relationships/hyperlink" Target="https://dspace.lu.lv/dspace/bitstream/handle/7/5198/33657-Juris_Juriss_2013.pdf?sequence=1"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ur-lex.europa.eu/legal-content/EN/TXT/HTML/?uri=CELEX:32015L0849&amp;from=FR." TargetMode="External"/><Relationship Id="rId20" Type="http://schemas.openxmlformats.org/officeDocument/2006/relationships/hyperlink" Target="https://www.unodc.org/documents/middleeastandnorthafrica/organised-crime/UNITED_NATIONS_CONVENTION_AGAINST_TRANSNATIONAL_ORGANIZED_CRIME_AND_THE_PROTOCOLS_THERETO.pdf" TargetMode="External"/><Relationship Id="rId29" Type="http://schemas.openxmlformats.org/officeDocument/2006/relationships/hyperlink" Target="https://www.anti-moneylaundering.org/Europe.aspx" TargetMode="External"/><Relationship Id="rId41" Type="http://schemas.openxmlformats.org/officeDocument/2006/relationships/hyperlink" Target="https://www.liaa.gov.lv/lv/programmas/noderigi/klasifikacija-nace-2-re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1.next.westlaw.com/Link/Document/FullText?findType=UNKNOWN&amp;cite=I9BF50B74DCDB44AABAE955D607E6267C&amp;originatingDoc=IF02CA7A08E3511E99B808522AFECC67E&amp;refType=UO&amp;originationContext=document&amp;transitionType=DocumentItem&amp;contextData=(sc.Search)" TargetMode="External"/><Relationship Id="rId24" Type="http://schemas.openxmlformats.org/officeDocument/2006/relationships/hyperlink" Target="https://likumi.lv/ta/en/en/id/178987-law-on-the-prevention-of-money-laundering-and-terrorism-and-proliferation-financing." TargetMode="External"/><Relationship Id="rId32" Type="http://schemas.openxmlformats.org/officeDocument/2006/relationships/hyperlink" Target="https://ec.europa.eu/info/business-economy-euro/banking-and-finance/financial-supervision-and-risk-management/anti-money-laundering-and-counter-terrorist-financing_en." TargetMode="External"/><Relationship Id="rId37" Type="http://schemas.openxmlformats.org/officeDocument/2006/relationships/hyperlink" Target="https://www.fatf-gafi.org/media/fatf/documents/reports/1996%201997%20ENG.pdf." TargetMode="External"/><Relationship Id="rId40" Type="http://schemas.openxmlformats.org/officeDocument/2006/relationships/hyperlink" Target="https://www.kourtelaw.com/uc/wp-content/uploads/2014/02/Implications-of-the-3rd-Monvey-Laundering-Directive.pdf,"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eur-lex.europa.eu/legal-content/EN/TXT/PDF/?uri=CELEX:31991L0308&amp;from=LV." TargetMode="External"/><Relationship Id="rId23" Type="http://schemas.openxmlformats.org/officeDocument/2006/relationships/hyperlink" Target="https://likumi.lv/ta/jaunakie/stajas-speka/2008/08/13/" TargetMode="External"/><Relationship Id="rId28" Type="http://schemas.openxmlformats.org/officeDocument/2006/relationships/hyperlink" Target="https://heinonline.org/HOL/Page?collection=journals&amp;handle=hein.journals/elerb8&amp;id=14&amp;men_tab=srchresults." TargetMode="External"/><Relationship Id="rId36" Type="http://schemas.openxmlformats.org/officeDocument/2006/relationships/hyperlink" Target="https://www.fktk.lv/wp-content/uploads/2021/01/08.01.01.-_33_PLG_NVO.pdf." TargetMode="External"/><Relationship Id="rId10" Type="http://schemas.openxmlformats.org/officeDocument/2006/relationships/hyperlink" Target="https://1.next.westlaw.com/Document/IF02CA7A08E3511E99B808522AFECC67E/View/FullText.html?navigationPath=Search/v1/results/navigation/i0ad7403600000178a34f1835741705ac?ppcid=46e5438261b84eb58fb50ec3e8768263&amp;Nav=INTERNATIONAL-ANALYTICAL&amp;navQualifier=I0363b1e0a09611e28578f7ccc38dcbee&amp;listQualifier=I0363b1e0a09611e28578f7ccc38dcbee&amp;fragmentIdentifier=IF02CA7A08E3511E99B808522AFECC67E&amp;parentRank=0&amp;startIndex=1&amp;contextData=%28sc.Search%29&amp;transitionType=SearchItem&amp;listSource=Search&amp;listPageSource=511a4a3a6b697d8dc21d06a85266a787&amp;list=INTERNATIONAL-ANALYTICAL&amp;rank=1&amp;sessionScopeId=95ee8fa540446a3a559415bfc5854de20c63b8712ab6a7e87e227aeba4a11501&amp;ppcid=46e5438261b84eb58fb50ec3e8768263&amp;originationContext=Search%20Result&amp;transitionType=SearchItem&amp;contextData=(sc.Search)" TargetMode="External"/><Relationship Id="rId19" Type="http://schemas.openxmlformats.org/officeDocument/2006/relationships/hyperlink" Target="https://eur-lex.europa.eu/legal-content/EN/TXT/?uri=CELEX%3A32005L0060." TargetMode="External"/><Relationship Id="rId31" Type="http://schemas.openxmlformats.org/officeDocument/2006/relationships/hyperlink" Target="https://ec.europa.eu/info/business-economy-euro/banking-and-finance/financial-markets/capital-movements_en." TargetMode="External"/><Relationship Id="rId44"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unodc.org/pdf/convention_1988_en.pdf" TargetMode="External"/><Relationship Id="rId22" Type="http://schemas.openxmlformats.org/officeDocument/2006/relationships/hyperlink" Target="https://likumi.lv/ta/en/en/id/88966-the-criminal-law." TargetMode="External"/><Relationship Id="rId27" Type="http://schemas.openxmlformats.org/officeDocument/2006/relationships/hyperlink" Target="https://manas.tiesas.lv/eTiesasMvc/nolemumi/pdf/444984.pdf." TargetMode="External"/><Relationship Id="rId30" Type="http://schemas.openxmlformats.org/officeDocument/2006/relationships/hyperlink" Target="https://www.coe.int/en/web/moneyval." TargetMode="External"/><Relationship Id="rId35" Type="http://schemas.openxmlformats.org/officeDocument/2006/relationships/hyperlink" Target="http://www.fatf-gafi.org/media/fatf/documents/reports/Guidance-transparency-beneficial-ownership.pdf." TargetMode="External"/><Relationship Id="rId43" Type="http://schemas.openxmlformats.org/officeDocument/2006/relationships/hyperlink" Target="https://ebookcentral.proquest.com/lib/lulv/reader.action?docID=799756&amp;ppg=33"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kourtelaw.com/uc/wp-content/uploads/2014/02/Implications-of-the-3rd-Monvey-Laundering-Directive.pdf," TargetMode="External"/><Relationship Id="rId18" Type="http://schemas.openxmlformats.org/officeDocument/2006/relationships/hyperlink" Target="https://www.fatf-gafi.org/media/fatf/documents/reports/1996%201997%20ENG.pdf." TargetMode="External"/><Relationship Id="rId26" Type="http://schemas.openxmlformats.org/officeDocument/2006/relationships/hyperlink" Target="https://eur-lex.europa.eu/legal-content/EN/TXT/?uri=CELEX%3A32018L0843." TargetMode="External"/><Relationship Id="rId39" Type="http://schemas.openxmlformats.org/officeDocument/2006/relationships/hyperlink" Target="https://likumi.lv/ta/en/en/id/178987-law-on-the-prevention-of-money-laundering-and-terrorism-and-proliferation-financing." TargetMode="External"/><Relationship Id="rId21" Type="http://schemas.openxmlformats.org/officeDocument/2006/relationships/hyperlink" Target="https://eur-lex.europa.eu/legal-content/EN/TXT/?uri=CELEX%3A32005L0060." TargetMode="External"/><Relationship Id="rId34" Type="http://schemas.openxmlformats.org/officeDocument/2006/relationships/hyperlink" Target="https://likumi.lv/ta/en/en/id/178987-law-on-the-prevention-of-money-laundering-and-terrorism-and-proliferation-financing." TargetMode="External"/><Relationship Id="rId42" Type="http://schemas.openxmlformats.org/officeDocument/2006/relationships/hyperlink" Target="https://likumi.lv/ta/jaunakie/stajas-speka/2008/08/13/" TargetMode="External"/><Relationship Id="rId47" Type="http://schemas.openxmlformats.org/officeDocument/2006/relationships/hyperlink" Target="https://eur-lex.europa.eu/legal-content/EN/TXT/PDF/?uri=CELEX:31991L0308&amp;from=LV." TargetMode="External"/><Relationship Id="rId50" Type="http://schemas.openxmlformats.org/officeDocument/2006/relationships/hyperlink" Target="https://www.ur.gov.lv/lv/patieso-labuma-guveju-skaidrojums/." TargetMode="External"/><Relationship Id="rId55" Type="http://schemas.openxmlformats.org/officeDocument/2006/relationships/hyperlink" Target="https://www.ur.gov.lv/lv/patieso-labuma-guveju-skaidrojums/." TargetMode="External"/><Relationship Id="rId7" Type="http://schemas.openxmlformats.org/officeDocument/2006/relationships/hyperlink" Target="https://likumi.lv/ta/en/en/id/88966-the-criminal-law." TargetMode="External"/><Relationship Id="rId2" Type="http://schemas.openxmlformats.org/officeDocument/2006/relationships/hyperlink" Target="https://europa.eu/european-union/topics/trade_en." TargetMode="External"/><Relationship Id="rId16" Type="http://schemas.openxmlformats.org/officeDocument/2006/relationships/hyperlink" Target="https://heinonline.org/HOL/Page?collection=journals&amp;handle=hein.journals/elerb8&amp;id=14&amp;men_tab=srchresults." TargetMode="External"/><Relationship Id="rId20" Type="http://schemas.openxmlformats.org/officeDocument/2006/relationships/hyperlink" Target="https://eur-lex.europa.eu/legal-content/EN/TXT/?uri=CELEX%3A32005L0060." TargetMode="External"/><Relationship Id="rId29" Type="http://schemas.openxmlformats.org/officeDocument/2006/relationships/hyperlink" Target="https://www.loc.gov/law/foreign-news/article/european-union-5th-anti-money-laundering-directive-enters-into-force/." TargetMode="External"/><Relationship Id="rId41" Type="http://schemas.openxmlformats.org/officeDocument/2006/relationships/hyperlink" Target="https://www.ur.gov.lv/lv/patieso-labuma-guveju-skaidrojums/." TargetMode="External"/><Relationship Id="rId54" Type="http://schemas.openxmlformats.org/officeDocument/2006/relationships/hyperlink" Target="https://likumi.lv/ta/en/en/id/47009." TargetMode="External"/><Relationship Id="rId1" Type="http://schemas.openxmlformats.org/officeDocument/2006/relationships/hyperlink" Target="https://ec.europa.eu/info/business-economy-euro/banking-and-finance/financial-markets/capital-movements_en." TargetMode="External"/><Relationship Id="rId6" Type="http://schemas.openxmlformats.org/officeDocument/2006/relationships/hyperlink" Target="https://www.unodc.org/pdf/convention_1988_en.pdf" TargetMode="External"/><Relationship Id="rId11" Type="http://schemas.openxmlformats.org/officeDocument/2006/relationships/hyperlink" Target="https://www.anti-moneylaundering.org/Europe.aspx" TargetMode="External"/><Relationship Id="rId24" Type="http://schemas.openxmlformats.org/officeDocument/2006/relationships/hyperlink" Target="https://eur-lex.europa.eu/legal-content/EN/TXT/HTML/?uri=CELEX:32015L0849&amp;from=FR." TargetMode="External"/><Relationship Id="rId32" Type="http://schemas.openxmlformats.org/officeDocument/2006/relationships/hyperlink" Target="https://rm.coe.int/anti-money-laundering-and-counter-terrorist-financing-measures-latvia-/16809988c1." TargetMode="External"/><Relationship Id="rId37" Type="http://schemas.openxmlformats.org/officeDocument/2006/relationships/hyperlink" Target="https://likumi.lv/ta/en/en/id/88966-the-criminal-law." TargetMode="External"/><Relationship Id="rId40" Type="http://schemas.openxmlformats.org/officeDocument/2006/relationships/hyperlink" Target="http://www.fatf-gafi.org/media/fatf/documents/reports/Guidance-transparency-beneficial-ownership.pdf." TargetMode="External"/><Relationship Id="rId45" Type="http://schemas.openxmlformats.org/officeDocument/2006/relationships/hyperlink" Target="https://likumi.lv/ta/jaunakie/stajas-speka/2008/08/13/" TargetMode="External"/><Relationship Id="rId53" Type="http://schemas.openxmlformats.org/officeDocument/2006/relationships/hyperlink" Target="https://www.ur.gov.lv/lv/patieso-labuma-guveju-skaidrojums/." TargetMode="External"/><Relationship Id="rId58" Type="http://schemas.openxmlformats.org/officeDocument/2006/relationships/hyperlink" Target="https://likumi.lv/ta/en/en/id/139367-law-on-political-parties." TargetMode="External"/><Relationship Id="rId5" Type="http://schemas.openxmlformats.org/officeDocument/2006/relationships/hyperlink" Target="https://www.anti-moneylaundering.org/Europe.aspx" TargetMode="External"/><Relationship Id="rId15" Type="http://schemas.openxmlformats.org/officeDocument/2006/relationships/hyperlink" Target="https://eur-lex.europa.eu/legal-content/EN/TXT/?uri=CELEX%3A32005L0060." TargetMode="External"/><Relationship Id="rId23" Type="http://schemas.openxmlformats.org/officeDocument/2006/relationships/hyperlink" Target="https://eur-lex.europa.eu/legal-content/EN/TXT/?uri=CELEX%3A32005L0060." TargetMode="External"/><Relationship Id="rId28" Type="http://schemas.openxmlformats.org/officeDocument/2006/relationships/hyperlink" Target="https://www.loc.gov/law/foreign-news/article/european-union-5th-anti-money-laundering-directive-enters-into-force/." TargetMode="External"/><Relationship Id="rId36" Type="http://schemas.openxmlformats.org/officeDocument/2006/relationships/hyperlink" Target="https://www.liaa.gov.lv/lv/programmas/noderigi/klasifikacija-nace-2-red." TargetMode="External"/><Relationship Id="rId49" Type="http://schemas.openxmlformats.org/officeDocument/2006/relationships/hyperlink" Target="https://likumi.lv/ta/en/en/id/88966-the-criminal-law." TargetMode="External"/><Relationship Id="rId57" Type="http://schemas.openxmlformats.org/officeDocument/2006/relationships/hyperlink" Target="https://www.ur.gov.lv/lv/patieso-labuma-guveju-skaidrojums/." TargetMode="External"/><Relationship Id="rId61" Type="http://schemas.openxmlformats.org/officeDocument/2006/relationships/hyperlink" Target="https://manas.tiesas.lv/eTiesasMvc/nolemumi/pdf/444984.pdf." TargetMode="External"/><Relationship Id="rId10" Type="http://schemas.openxmlformats.org/officeDocument/2006/relationships/hyperlink" Target="https://www.anti-moneylaundering.org/Europe.aspx" TargetMode="External"/><Relationship Id="rId19" Type="http://schemas.openxmlformats.org/officeDocument/2006/relationships/hyperlink" Target="https://eur-lex.europa.eu/legal-content/EN/ALL/?uri=CELEX%3A32001L0097." TargetMode="External"/><Relationship Id="rId31" Type="http://schemas.openxmlformats.org/officeDocument/2006/relationships/hyperlink" Target="https://rm.coe.int/anti-money-laundering-and-counter-terrorist-financing-measures-latvia-/16809988c1." TargetMode="External"/><Relationship Id="rId44" Type="http://schemas.openxmlformats.org/officeDocument/2006/relationships/hyperlink" Target="https://likumi.lv/ta/en/en/id/88966-the-criminal-law." TargetMode="External"/><Relationship Id="rId52" Type="http://schemas.openxmlformats.org/officeDocument/2006/relationships/hyperlink" Target="https://likumi.lv/ta/en/en/id/63545-state-administration-structure-law." TargetMode="External"/><Relationship Id="rId60" Type="http://schemas.openxmlformats.org/officeDocument/2006/relationships/hyperlink" Target="https://www.ur.gov.lv/lv/patieso-labuma-guveju-skaidrojums/.Accessed" TargetMode="External"/><Relationship Id="rId4" Type="http://schemas.openxmlformats.org/officeDocument/2006/relationships/hyperlink" Target="https://ec.europa.eu/info/business-economy-euro/banking-and-finance/financial-supervision-and-risk-management/anti-money-laundering-and-counter-terrorist-financing_en." TargetMode="External"/><Relationship Id="rId9" Type="http://schemas.openxmlformats.org/officeDocument/2006/relationships/hyperlink" Target="https://eur-lex.europa.eu/LexUriServ/LexUriServ.do?uri=CELEX:31991L0308:EN:HTML." TargetMode="External"/><Relationship Id="rId14" Type="http://schemas.openxmlformats.org/officeDocument/2006/relationships/hyperlink" Target="https://heinonline.org/HOL/Page?collection=journals&amp;handle=hein.journals/elerb8&amp;id=14&amp;men_tab=srchresults." TargetMode="External"/><Relationship Id="rId22" Type="http://schemas.openxmlformats.org/officeDocument/2006/relationships/hyperlink" Target="https://core.ac.uk/download/pdf/188582432.pdf," TargetMode="External"/><Relationship Id="rId27" Type="http://schemas.openxmlformats.org/officeDocument/2006/relationships/hyperlink" Target="https://eur-lex.europa.eu/legal-content/EN/TXT/?uri=CELEX%3A32018L0843." TargetMode="External"/><Relationship Id="rId30" Type="http://schemas.openxmlformats.org/officeDocument/2006/relationships/hyperlink" Target="https://www.coe.int/en/web/moneyval." TargetMode="External"/><Relationship Id="rId35" Type="http://schemas.openxmlformats.org/officeDocument/2006/relationships/hyperlink" Target="https://www.fktk.lv/wp-content/uploads/2021/01/08.01.01.-_33_PLG_NVO.pdf." TargetMode="External"/><Relationship Id="rId43" Type="http://schemas.openxmlformats.org/officeDocument/2006/relationships/hyperlink" Target="https://likumi.lv/ta/en/en/id/178987-law-on-the-prevention-of-money-laundering-and-terrorism-and-proliferation-financing." TargetMode="External"/><Relationship Id="rId48" Type="http://schemas.openxmlformats.org/officeDocument/2006/relationships/hyperlink" Target="https://dspace.lu.lv/dspace/bitstream/handle/7/5198/33657-Juris_Juriss_2013.pdf?sequence=1" TargetMode="External"/><Relationship Id="rId56" Type="http://schemas.openxmlformats.org/officeDocument/2006/relationships/hyperlink" Target="https://likumi.lv/ta/en/en/id/5490-the-commercial-law." TargetMode="External"/><Relationship Id="rId8" Type="http://schemas.openxmlformats.org/officeDocument/2006/relationships/hyperlink" Target="https://eur-lex.europa.eu/LexUriServ/LexUriServ.do?uri=CELEX:31991L0308:EN:HTML." TargetMode="External"/><Relationship Id="rId51" Type="http://schemas.openxmlformats.org/officeDocument/2006/relationships/hyperlink" Target="https://www.fktk.lv/wp-content/uploads/2021/01/08.01.01.-_33_PLG_NVO.pdf." TargetMode="External"/><Relationship Id="rId3" Type="http://schemas.openxmlformats.org/officeDocument/2006/relationships/hyperlink" Target="https://eur-lex.europa.eu/legal-content/EN/TXT/?uri=CELEX%3A32019L0882." TargetMode="External"/><Relationship Id="rId12" Type="http://schemas.openxmlformats.org/officeDocument/2006/relationships/hyperlink" Target="https://www.unodc.org/documents/middleeastandnorthafrica/organised-crime/UNITED_NATIONS_CONVENTION_AGAINST_TRANSNATIONAL_ORGANIZED_CRIME_AND_THE_PROTOCOLS_THERETO.pdf" TargetMode="External"/><Relationship Id="rId17" Type="http://schemas.openxmlformats.org/officeDocument/2006/relationships/hyperlink" Target="https://eur-lex.europa.eu/LexUriServ/LexUriServ.do?uri=CELEX:31991L0308:EN:HTML." TargetMode="External"/><Relationship Id="rId25" Type="http://schemas.openxmlformats.org/officeDocument/2006/relationships/hyperlink" Target="https://eur-lex.europa.eu/legal-content/EN/TXT/HTML/?uri=CELEX:32015L0849&amp;from=FR." TargetMode="External"/><Relationship Id="rId33" Type="http://schemas.openxmlformats.org/officeDocument/2006/relationships/hyperlink" Target="https://likumi.lv/ta/jaunakie/stajas-speka/2008/08/13/" TargetMode="External"/><Relationship Id="rId38" Type="http://schemas.openxmlformats.org/officeDocument/2006/relationships/hyperlink" Target="https://likumi.lv/ta/jaunakie/stajas-speka/2008/08/13/" TargetMode="External"/><Relationship Id="rId46" Type="http://schemas.openxmlformats.org/officeDocument/2006/relationships/hyperlink" Target="https://likumi.lv/ta/en/en/id/178987-law-on-the-prevention-of-money-laundering-and-terrorism-and-proliferation-financing." TargetMode="External"/><Relationship Id="rId59" Type="http://schemas.openxmlformats.org/officeDocument/2006/relationships/hyperlink" Target="https://likumi.lv/ta/en/en/id/265207-law-on-trade-union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42</Pages>
  <Words>16293</Words>
  <Characters>95505</Characters>
  <Application>Microsoft Office Word</Application>
  <DocSecurity>0</DocSecurity>
  <Lines>795</Lines>
  <Paragraphs>223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google1557742436</dc:creator>
  <cp:lastModifiedBy>Sarma Smite</cp:lastModifiedBy>
  <cp:revision>4</cp:revision>
  <cp:lastPrinted>2021-06-09T08:04:00Z</cp:lastPrinted>
  <dcterms:created xsi:type="dcterms:W3CDTF">2021-05-11T07:24:00Z</dcterms:created>
  <dcterms:modified xsi:type="dcterms:W3CDTF">2021-06-09T08:04:00Z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2057-11.2.0.8970</vt:lpwstr>
  </property>
</Properties>
</file>