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525" w:type="dxa"/>
        <w:tblCellMar>
          <w:left w:w="0" w:type="dxa"/>
          <w:right w:w="0" w:type="dxa"/>
        </w:tblCellMar>
        <w:tblLook w:val="04A0"/>
      </w:tblPr>
      <w:tblGrid>
        <w:gridCol w:w="9535"/>
        <w:gridCol w:w="6"/>
      </w:tblGrid>
      <w:tr w:rsidR="007A0BB2" w:rsidRPr="007C58A3" w:rsidTr="00412A28">
        <w:tc>
          <w:tcPr>
            <w:tcW w:w="9519" w:type="dxa"/>
            <w:tcBorders>
              <w:top w:val="nil"/>
              <w:left w:val="nil"/>
              <w:bottom w:val="nil"/>
              <w:right w:val="nil"/>
            </w:tcBorders>
            <w:shd w:val="clear" w:color="auto" w:fill="FFFFFF"/>
            <w:noWrap/>
            <w:hideMark/>
          </w:tcPr>
          <w:p w:rsidR="007A0BB2" w:rsidRPr="00474709" w:rsidRDefault="007A0BB2" w:rsidP="00412A28">
            <w:pPr>
              <w:rPr>
                <w:color w:val="000000"/>
                <w:sz w:val="28"/>
                <w:szCs w:val="28"/>
              </w:rPr>
            </w:pPr>
          </w:p>
        </w:tc>
        <w:tc>
          <w:tcPr>
            <w:tcW w:w="6" w:type="dxa"/>
            <w:tcBorders>
              <w:top w:val="nil"/>
              <w:left w:val="nil"/>
              <w:bottom w:val="nil"/>
              <w:right w:val="nil"/>
            </w:tcBorders>
            <w:shd w:val="clear" w:color="auto" w:fill="FFFFFF"/>
            <w:hideMark/>
          </w:tcPr>
          <w:p w:rsidR="007A0BB2" w:rsidRPr="00474709" w:rsidRDefault="007A0BB2" w:rsidP="00412A28">
            <w:pPr>
              <w:rPr>
                <w:color w:val="000000"/>
                <w:sz w:val="28"/>
                <w:szCs w:val="28"/>
              </w:rPr>
            </w:pPr>
          </w:p>
        </w:tc>
      </w:tr>
      <w:tr w:rsidR="007A0BB2" w:rsidRPr="007C58A3" w:rsidTr="00412A28">
        <w:tc>
          <w:tcPr>
            <w:tcW w:w="9519" w:type="dxa"/>
            <w:tcBorders>
              <w:top w:val="nil"/>
              <w:left w:val="nil"/>
              <w:bottom w:val="nil"/>
              <w:right w:val="nil"/>
            </w:tcBorders>
            <w:shd w:val="clear" w:color="auto" w:fill="FFFFFF"/>
            <w:noWrap/>
            <w:hideMark/>
          </w:tcPr>
          <w:p w:rsidR="007A0BB2" w:rsidRPr="00474709" w:rsidRDefault="007A0BB2" w:rsidP="00412A28">
            <w:pPr>
              <w:rPr>
                <w:color w:val="000000"/>
                <w:sz w:val="28"/>
                <w:szCs w:val="28"/>
              </w:rPr>
            </w:pPr>
          </w:p>
        </w:tc>
        <w:tc>
          <w:tcPr>
            <w:tcW w:w="6" w:type="dxa"/>
            <w:tcBorders>
              <w:top w:val="nil"/>
              <w:left w:val="nil"/>
              <w:bottom w:val="nil"/>
              <w:right w:val="nil"/>
            </w:tcBorders>
            <w:shd w:val="clear" w:color="auto" w:fill="FFFFFF"/>
            <w:hideMark/>
          </w:tcPr>
          <w:p w:rsidR="007A0BB2" w:rsidRPr="00474709" w:rsidRDefault="007A0BB2" w:rsidP="00412A28">
            <w:pPr>
              <w:rPr>
                <w:color w:val="000000"/>
                <w:sz w:val="28"/>
                <w:szCs w:val="28"/>
              </w:rPr>
            </w:pPr>
          </w:p>
        </w:tc>
      </w:tr>
    </w:tbl>
    <w:p w:rsidR="007A0BB2" w:rsidRPr="00CF14EE" w:rsidRDefault="007A0BB2" w:rsidP="007A0BB2">
      <w:pPr>
        <w:jc w:val="center"/>
        <w:rPr>
          <w:sz w:val="28"/>
          <w:szCs w:val="28"/>
        </w:rPr>
      </w:pPr>
      <w:r w:rsidRPr="00CF14EE">
        <w:rPr>
          <w:sz w:val="28"/>
          <w:szCs w:val="28"/>
        </w:rPr>
        <w:t>LATVIJAS UNIVERSITĀTE</w:t>
      </w:r>
    </w:p>
    <w:p w:rsidR="007A0BB2" w:rsidRPr="00CF14EE" w:rsidRDefault="007A0BB2" w:rsidP="007A0BB2">
      <w:pPr>
        <w:jc w:val="center"/>
        <w:rPr>
          <w:sz w:val="28"/>
          <w:szCs w:val="28"/>
        </w:rPr>
      </w:pPr>
      <w:r w:rsidRPr="00CF14EE">
        <w:rPr>
          <w:sz w:val="28"/>
          <w:szCs w:val="28"/>
        </w:rPr>
        <w:t>JURIDISKĀ FAKULTĀTE</w:t>
      </w:r>
    </w:p>
    <w:p w:rsidR="007A0BB2" w:rsidRPr="00CF14EE" w:rsidRDefault="007A0BB2" w:rsidP="007A0BB2">
      <w:pPr>
        <w:jc w:val="center"/>
        <w:rPr>
          <w:sz w:val="28"/>
          <w:szCs w:val="28"/>
        </w:rPr>
      </w:pPr>
      <w:r w:rsidRPr="00CF14EE">
        <w:rPr>
          <w:sz w:val="28"/>
          <w:szCs w:val="28"/>
        </w:rPr>
        <w:t xml:space="preserve">     Krimināltiesisko zinātņu katedra</w:t>
      </w:r>
      <w:r w:rsidRPr="00CF14EE">
        <w:rPr>
          <w:sz w:val="28"/>
          <w:szCs w:val="28"/>
        </w:rPr>
        <w:tab/>
      </w: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jc w:val="center"/>
        <w:rPr>
          <w:bCs/>
          <w:sz w:val="28"/>
          <w:szCs w:val="28"/>
        </w:rPr>
      </w:pPr>
      <w:r w:rsidRPr="00CF14EE">
        <w:rPr>
          <w:bCs/>
          <w:sz w:val="28"/>
          <w:szCs w:val="28"/>
        </w:rPr>
        <w:t xml:space="preserve">Maģistra darbs </w:t>
      </w:r>
    </w:p>
    <w:p w:rsidR="007A0BB2" w:rsidRPr="00CF14EE" w:rsidRDefault="007A0BB2" w:rsidP="007A0BB2">
      <w:pPr>
        <w:jc w:val="center"/>
        <w:rPr>
          <w:sz w:val="28"/>
          <w:szCs w:val="28"/>
        </w:rPr>
      </w:pPr>
    </w:p>
    <w:p w:rsidR="007A0BB2" w:rsidRPr="00CF14EE" w:rsidRDefault="007A0BB2" w:rsidP="007A0BB2">
      <w:pPr>
        <w:jc w:val="center"/>
        <w:rPr>
          <w:sz w:val="28"/>
          <w:szCs w:val="28"/>
        </w:rPr>
      </w:pPr>
    </w:p>
    <w:p w:rsidR="007A0BB2" w:rsidRPr="00550902" w:rsidRDefault="007A0BB2" w:rsidP="007A0BB2">
      <w:pPr>
        <w:jc w:val="center"/>
        <w:rPr>
          <w:b/>
          <w:sz w:val="28"/>
          <w:szCs w:val="28"/>
        </w:rPr>
      </w:pPr>
      <w:r w:rsidRPr="00550902">
        <w:rPr>
          <w:b/>
          <w:sz w:val="28"/>
          <w:szCs w:val="28"/>
        </w:rPr>
        <w:t>Kriminālprocesa likuma problēmu risinājums atsevišķu drošības līdzekļu piemērošanā pirmstiesas izmeklēšanā</w:t>
      </w:r>
    </w:p>
    <w:p w:rsidR="007A0BB2" w:rsidRPr="00CF14EE" w:rsidRDefault="007A0BB2" w:rsidP="007A0BB2">
      <w:pPr>
        <w:rPr>
          <w:i/>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p>
    <w:p w:rsidR="007A0BB2" w:rsidRPr="00CF14EE" w:rsidRDefault="007A0BB2" w:rsidP="007A0BB2">
      <w:pPr>
        <w:rPr>
          <w:sz w:val="28"/>
          <w:szCs w:val="28"/>
        </w:rPr>
      </w:pPr>
      <w:r w:rsidRPr="00CF14EE">
        <w:rPr>
          <w:sz w:val="28"/>
          <w:szCs w:val="28"/>
        </w:rPr>
        <w:t>Saņemts</w:t>
      </w:r>
    </w:p>
    <w:p w:rsidR="007A0BB2" w:rsidRPr="00CF14EE" w:rsidRDefault="007A0BB2" w:rsidP="007A0BB2">
      <w:pPr>
        <w:rPr>
          <w:sz w:val="28"/>
          <w:szCs w:val="28"/>
        </w:rPr>
      </w:pPr>
      <w:r w:rsidRPr="00CF14EE">
        <w:rPr>
          <w:sz w:val="28"/>
          <w:szCs w:val="28"/>
        </w:rPr>
        <w:t>____________katedrā</w:t>
      </w:r>
    </w:p>
    <w:p w:rsidR="007A0BB2" w:rsidRPr="00CF14EE" w:rsidRDefault="007A0BB2" w:rsidP="007A0BB2">
      <w:pPr>
        <w:rPr>
          <w:sz w:val="28"/>
          <w:szCs w:val="28"/>
        </w:rPr>
      </w:pPr>
      <w:r w:rsidRPr="00CF14EE">
        <w:rPr>
          <w:sz w:val="28"/>
          <w:szCs w:val="28"/>
        </w:rPr>
        <w:t>2008. g.____._______</w:t>
      </w:r>
    </w:p>
    <w:p w:rsidR="007A0BB2" w:rsidRPr="00CF14EE" w:rsidRDefault="007A0BB2" w:rsidP="007A0BB2">
      <w:pPr>
        <w:rPr>
          <w:sz w:val="28"/>
          <w:szCs w:val="28"/>
        </w:rPr>
      </w:pPr>
      <w:r w:rsidRPr="00CF14EE">
        <w:rPr>
          <w:sz w:val="28"/>
          <w:szCs w:val="28"/>
        </w:rPr>
        <w:t>__________________</w:t>
      </w:r>
    </w:p>
    <w:p w:rsidR="007A0BB2" w:rsidRDefault="007A0BB2" w:rsidP="007A0BB2">
      <w:pPr>
        <w:jc w:val="right"/>
        <w:rPr>
          <w:sz w:val="28"/>
          <w:szCs w:val="28"/>
        </w:rPr>
      </w:pPr>
      <w:r>
        <w:rPr>
          <w:sz w:val="28"/>
          <w:szCs w:val="28"/>
        </w:rPr>
        <w:t xml:space="preserve">Nepilna laika studiju nodaļas </w:t>
      </w:r>
    </w:p>
    <w:p w:rsidR="007A0BB2" w:rsidRDefault="007A0BB2" w:rsidP="007A0BB2">
      <w:pPr>
        <w:jc w:val="right"/>
        <w:rPr>
          <w:sz w:val="28"/>
          <w:szCs w:val="28"/>
        </w:rPr>
      </w:pPr>
      <w:r>
        <w:rPr>
          <w:sz w:val="28"/>
          <w:szCs w:val="28"/>
        </w:rPr>
        <w:t>3.semestra students</w:t>
      </w:r>
    </w:p>
    <w:p w:rsidR="007A0BB2" w:rsidRDefault="007A0BB2" w:rsidP="007A0BB2">
      <w:pPr>
        <w:jc w:val="right"/>
        <w:rPr>
          <w:sz w:val="28"/>
          <w:szCs w:val="28"/>
        </w:rPr>
      </w:pPr>
      <w:r w:rsidRPr="00CF14EE">
        <w:rPr>
          <w:sz w:val="28"/>
          <w:szCs w:val="28"/>
        </w:rPr>
        <w:t xml:space="preserve"> Aivo Leimanis</w:t>
      </w:r>
      <w:r>
        <w:rPr>
          <w:sz w:val="28"/>
          <w:szCs w:val="28"/>
        </w:rPr>
        <w:t xml:space="preserve"> </w:t>
      </w:r>
    </w:p>
    <w:p w:rsidR="007A0BB2" w:rsidRPr="00CF14EE" w:rsidRDefault="007A0BB2" w:rsidP="007A0BB2">
      <w:pPr>
        <w:jc w:val="right"/>
        <w:rPr>
          <w:sz w:val="28"/>
          <w:szCs w:val="28"/>
        </w:rPr>
      </w:pPr>
      <w:r w:rsidRPr="00CF14EE">
        <w:rPr>
          <w:sz w:val="28"/>
          <w:szCs w:val="28"/>
        </w:rPr>
        <w:t>TieZM 97050</w:t>
      </w:r>
    </w:p>
    <w:p w:rsidR="007A0BB2" w:rsidRPr="00CF14EE" w:rsidRDefault="007A0BB2" w:rsidP="007A0BB2">
      <w:pPr>
        <w:ind w:left="6521"/>
        <w:rPr>
          <w:sz w:val="28"/>
          <w:szCs w:val="28"/>
        </w:rPr>
      </w:pPr>
    </w:p>
    <w:p w:rsidR="007A0BB2" w:rsidRPr="00CF14EE" w:rsidRDefault="007A0BB2" w:rsidP="007A0BB2">
      <w:pPr>
        <w:ind w:left="5387"/>
        <w:rPr>
          <w:sz w:val="28"/>
          <w:szCs w:val="28"/>
        </w:rPr>
      </w:pPr>
    </w:p>
    <w:p w:rsidR="007A0BB2" w:rsidRPr="00CF14EE" w:rsidRDefault="007A0BB2" w:rsidP="007A0BB2">
      <w:pPr>
        <w:ind w:left="5387"/>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jc w:val="right"/>
        <w:rPr>
          <w:sz w:val="28"/>
          <w:szCs w:val="28"/>
        </w:rPr>
      </w:pPr>
      <w:r w:rsidRPr="00CF14EE">
        <w:rPr>
          <w:sz w:val="28"/>
          <w:szCs w:val="28"/>
        </w:rPr>
        <w:t>Zinātniskais konsultants</w:t>
      </w:r>
      <w:r>
        <w:rPr>
          <w:sz w:val="28"/>
          <w:szCs w:val="28"/>
        </w:rPr>
        <w:t xml:space="preserve"> </w:t>
      </w:r>
    </w:p>
    <w:p w:rsidR="007A0BB2" w:rsidRPr="00CF14EE" w:rsidRDefault="007A0BB2" w:rsidP="007A0BB2">
      <w:pPr>
        <w:jc w:val="right"/>
        <w:rPr>
          <w:sz w:val="28"/>
          <w:szCs w:val="28"/>
        </w:rPr>
      </w:pPr>
      <w:r w:rsidRPr="00CF14EE">
        <w:rPr>
          <w:sz w:val="28"/>
          <w:szCs w:val="28"/>
        </w:rPr>
        <w:t>Lektors Mag.iur.</w:t>
      </w:r>
      <w:r>
        <w:rPr>
          <w:sz w:val="28"/>
          <w:szCs w:val="28"/>
        </w:rPr>
        <w:t xml:space="preserve"> </w:t>
      </w:r>
      <w:r w:rsidRPr="00CF14EE">
        <w:rPr>
          <w:sz w:val="28"/>
          <w:szCs w:val="28"/>
        </w:rPr>
        <w:t>Gunārs Kūtris</w:t>
      </w:r>
    </w:p>
    <w:p w:rsidR="007A0BB2" w:rsidRPr="00CF14EE" w:rsidRDefault="007A0BB2" w:rsidP="007A0BB2">
      <w:pPr>
        <w:ind w:left="5245" w:right="-171"/>
        <w:jc w:val="right"/>
        <w:rPr>
          <w:b/>
          <w:sz w:val="28"/>
          <w:szCs w:val="28"/>
        </w:rPr>
      </w:pPr>
    </w:p>
    <w:p w:rsidR="007A0BB2" w:rsidRPr="00CF14EE" w:rsidRDefault="007A0BB2" w:rsidP="007A0BB2">
      <w:pPr>
        <w:rPr>
          <w:sz w:val="28"/>
          <w:szCs w:val="28"/>
        </w:rPr>
      </w:pPr>
    </w:p>
    <w:p w:rsidR="007A0BB2" w:rsidRDefault="007A0BB2" w:rsidP="007A0BB2">
      <w:pPr>
        <w:jc w:val="center"/>
        <w:rPr>
          <w:sz w:val="28"/>
          <w:szCs w:val="28"/>
        </w:rPr>
      </w:pPr>
    </w:p>
    <w:p w:rsidR="007A0BB2" w:rsidRDefault="007A0BB2" w:rsidP="007A0BB2">
      <w:pPr>
        <w:jc w:val="center"/>
        <w:rPr>
          <w:sz w:val="28"/>
          <w:szCs w:val="28"/>
        </w:rPr>
      </w:pPr>
      <w:r w:rsidRPr="00CF14EE">
        <w:rPr>
          <w:sz w:val="28"/>
          <w:szCs w:val="28"/>
        </w:rPr>
        <w:t>Rīga, 2008</w:t>
      </w:r>
    </w:p>
    <w:p w:rsidR="007A0BB2" w:rsidRDefault="007A0BB2" w:rsidP="007A0BB2">
      <w:pPr>
        <w:jc w:val="center"/>
        <w:rPr>
          <w:sz w:val="28"/>
          <w:szCs w:val="28"/>
        </w:rPr>
      </w:pPr>
    </w:p>
    <w:p w:rsidR="007A0BB2" w:rsidRPr="00906F69" w:rsidRDefault="007A0BB2" w:rsidP="007A0BB2">
      <w:pPr>
        <w:jc w:val="center"/>
        <w:rPr>
          <w:b/>
          <w:sz w:val="28"/>
          <w:szCs w:val="28"/>
        </w:rPr>
      </w:pPr>
      <w:r w:rsidRPr="00906F69">
        <w:rPr>
          <w:b/>
          <w:sz w:val="28"/>
          <w:szCs w:val="28"/>
        </w:rPr>
        <w:t>Saturs</w:t>
      </w:r>
    </w:p>
    <w:p w:rsidR="007A0BB2" w:rsidRPr="00906F69" w:rsidRDefault="007A0BB2" w:rsidP="007A0BB2">
      <w:pPr>
        <w:rPr>
          <w:b/>
          <w:sz w:val="28"/>
          <w:szCs w:val="28"/>
        </w:rPr>
      </w:pPr>
    </w:p>
    <w:p w:rsidR="007A0BB2" w:rsidRPr="00906F69" w:rsidRDefault="007A0BB2" w:rsidP="007A0BB2">
      <w:pPr>
        <w:rPr>
          <w:sz w:val="28"/>
          <w:szCs w:val="28"/>
        </w:rPr>
      </w:pPr>
      <w:r w:rsidRPr="00906F69">
        <w:rPr>
          <w:b/>
          <w:sz w:val="28"/>
          <w:szCs w:val="28"/>
        </w:rPr>
        <w:t>Ievads</w:t>
      </w:r>
      <w:r>
        <w:rPr>
          <w:b/>
          <w:sz w:val="28"/>
          <w:szCs w:val="28"/>
        </w:rPr>
        <w:t xml:space="preserve"> </w:t>
      </w:r>
      <w:r w:rsidRPr="00906F69">
        <w:rPr>
          <w:sz w:val="28"/>
          <w:szCs w:val="28"/>
        </w:rPr>
        <w:t>.............</w:t>
      </w:r>
      <w:r>
        <w:rPr>
          <w:sz w:val="28"/>
          <w:szCs w:val="28"/>
        </w:rPr>
        <w:t>.......................................................................................... 3</w:t>
      </w:r>
    </w:p>
    <w:p w:rsidR="007A0BB2" w:rsidRDefault="007A0BB2" w:rsidP="007A0BB2">
      <w:pPr>
        <w:rPr>
          <w:sz w:val="28"/>
          <w:szCs w:val="28"/>
        </w:rPr>
      </w:pPr>
    </w:p>
    <w:p w:rsidR="007A0BB2" w:rsidRPr="00906F69" w:rsidRDefault="007A0BB2" w:rsidP="007A0BB2">
      <w:pPr>
        <w:pStyle w:val="ListParagraph"/>
        <w:numPr>
          <w:ilvl w:val="0"/>
          <w:numId w:val="13"/>
        </w:numPr>
        <w:rPr>
          <w:b/>
          <w:sz w:val="28"/>
          <w:szCs w:val="28"/>
        </w:rPr>
      </w:pPr>
      <w:r w:rsidRPr="00906F69">
        <w:rPr>
          <w:b/>
          <w:sz w:val="28"/>
          <w:szCs w:val="28"/>
        </w:rPr>
        <w:t xml:space="preserve">Drošības līdzekļu -apcietinājums, mājas arests </w:t>
      </w:r>
    </w:p>
    <w:p w:rsidR="007A0BB2" w:rsidRPr="00906F69" w:rsidRDefault="007A0BB2" w:rsidP="007A0BB2">
      <w:pPr>
        <w:pStyle w:val="ListParagraph"/>
        <w:rPr>
          <w:b/>
          <w:sz w:val="28"/>
          <w:szCs w:val="28"/>
        </w:rPr>
      </w:pPr>
      <w:r w:rsidRPr="00906F69">
        <w:rPr>
          <w:b/>
          <w:sz w:val="28"/>
          <w:szCs w:val="28"/>
        </w:rPr>
        <w:t xml:space="preserve">un drošības nauda- vieta kriminālprocesuālo </w:t>
      </w:r>
    </w:p>
    <w:p w:rsidR="007A0BB2" w:rsidRDefault="007A0BB2" w:rsidP="007A0BB2">
      <w:pPr>
        <w:pStyle w:val="ListParagraph"/>
        <w:rPr>
          <w:sz w:val="28"/>
          <w:szCs w:val="28"/>
        </w:rPr>
      </w:pPr>
      <w:r w:rsidRPr="00906F69">
        <w:rPr>
          <w:b/>
          <w:sz w:val="28"/>
          <w:szCs w:val="28"/>
        </w:rPr>
        <w:t>piespiedu līdzekļu sistēmā</w:t>
      </w:r>
      <w:r>
        <w:rPr>
          <w:sz w:val="28"/>
          <w:szCs w:val="28"/>
        </w:rPr>
        <w:t xml:space="preserve"> ........................................................... 5</w:t>
      </w:r>
    </w:p>
    <w:p w:rsidR="007A0BB2" w:rsidRPr="00E54C97" w:rsidRDefault="007A0BB2" w:rsidP="007A0BB2">
      <w:pPr>
        <w:pStyle w:val="ListParagraph"/>
        <w:jc w:val="both"/>
        <w:rPr>
          <w:sz w:val="28"/>
          <w:szCs w:val="28"/>
        </w:rPr>
      </w:pPr>
    </w:p>
    <w:p w:rsidR="007A0BB2" w:rsidRDefault="007A0BB2" w:rsidP="007A0BB2">
      <w:pPr>
        <w:pStyle w:val="ListParagraph"/>
        <w:numPr>
          <w:ilvl w:val="0"/>
          <w:numId w:val="13"/>
        </w:numPr>
        <w:jc w:val="both"/>
        <w:rPr>
          <w:sz w:val="28"/>
          <w:szCs w:val="28"/>
        </w:rPr>
      </w:pPr>
      <w:r w:rsidRPr="00906F69">
        <w:rPr>
          <w:b/>
          <w:sz w:val="28"/>
          <w:szCs w:val="28"/>
        </w:rPr>
        <w:t>Drošības līdzekļu piemērošanas vispārējais pamats</w:t>
      </w:r>
      <w:r>
        <w:rPr>
          <w:sz w:val="28"/>
          <w:szCs w:val="28"/>
        </w:rPr>
        <w:t xml:space="preserve"> ................. 7</w:t>
      </w:r>
    </w:p>
    <w:p w:rsidR="007A0BB2" w:rsidRPr="00E54C97" w:rsidRDefault="007A0BB2" w:rsidP="007A0BB2">
      <w:pPr>
        <w:pStyle w:val="ListParagraph"/>
        <w:jc w:val="both"/>
        <w:rPr>
          <w:sz w:val="28"/>
          <w:szCs w:val="28"/>
        </w:rPr>
      </w:pPr>
    </w:p>
    <w:p w:rsidR="007A0BB2" w:rsidRDefault="007A0BB2" w:rsidP="007A0BB2">
      <w:pPr>
        <w:pStyle w:val="ListParagraph"/>
        <w:numPr>
          <w:ilvl w:val="1"/>
          <w:numId w:val="13"/>
        </w:numPr>
        <w:jc w:val="both"/>
        <w:rPr>
          <w:sz w:val="28"/>
          <w:szCs w:val="28"/>
        </w:rPr>
      </w:pPr>
      <w:r w:rsidRPr="00E54C97">
        <w:rPr>
          <w:sz w:val="28"/>
          <w:szCs w:val="28"/>
        </w:rPr>
        <w:t xml:space="preserve">drošības līdzekļu piemērošanas nosacījumu </w:t>
      </w:r>
    </w:p>
    <w:p w:rsidR="007A0BB2" w:rsidRDefault="007A0BB2" w:rsidP="007A0BB2">
      <w:pPr>
        <w:pStyle w:val="ListParagraph"/>
        <w:ind w:left="1350"/>
        <w:jc w:val="both"/>
        <w:rPr>
          <w:sz w:val="28"/>
          <w:szCs w:val="28"/>
        </w:rPr>
      </w:pPr>
      <w:r w:rsidRPr="00E54C97">
        <w:rPr>
          <w:sz w:val="28"/>
          <w:szCs w:val="28"/>
        </w:rPr>
        <w:t>ievērošana tiesu praksē</w:t>
      </w:r>
      <w:r>
        <w:rPr>
          <w:sz w:val="28"/>
          <w:szCs w:val="28"/>
        </w:rPr>
        <w:t xml:space="preserve"> .......................................................... 9</w:t>
      </w:r>
    </w:p>
    <w:p w:rsidR="007A0BB2" w:rsidRPr="00E54C97" w:rsidRDefault="007A0BB2" w:rsidP="007A0BB2">
      <w:pPr>
        <w:pStyle w:val="ListParagraph"/>
        <w:ind w:left="1350"/>
        <w:jc w:val="both"/>
        <w:rPr>
          <w:sz w:val="28"/>
          <w:szCs w:val="28"/>
        </w:rPr>
      </w:pPr>
    </w:p>
    <w:p w:rsidR="007A0BB2" w:rsidRDefault="007A0BB2" w:rsidP="007A0BB2">
      <w:pPr>
        <w:pStyle w:val="ListParagraph"/>
        <w:numPr>
          <w:ilvl w:val="1"/>
          <w:numId w:val="13"/>
        </w:numPr>
        <w:jc w:val="both"/>
        <w:rPr>
          <w:sz w:val="28"/>
          <w:szCs w:val="28"/>
        </w:rPr>
      </w:pPr>
      <w:r w:rsidRPr="00E54C97">
        <w:rPr>
          <w:sz w:val="28"/>
          <w:szCs w:val="28"/>
        </w:rPr>
        <w:t>cilvēktiesību ievērošana un tās kontrole piemērojot</w:t>
      </w:r>
    </w:p>
    <w:p w:rsidR="007A0BB2" w:rsidRPr="009F2398" w:rsidRDefault="007A0BB2" w:rsidP="007A0BB2">
      <w:pPr>
        <w:ind w:left="990" w:firstLine="360"/>
        <w:jc w:val="both"/>
        <w:rPr>
          <w:sz w:val="28"/>
          <w:szCs w:val="28"/>
        </w:rPr>
      </w:pPr>
      <w:r w:rsidRPr="009F2398">
        <w:rPr>
          <w:sz w:val="28"/>
          <w:szCs w:val="28"/>
        </w:rPr>
        <w:t>drošības līdzekļus</w:t>
      </w:r>
      <w:r>
        <w:rPr>
          <w:sz w:val="28"/>
          <w:szCs w:val="28"/>
        </w:rPr>
        <w:t xml:space="preserve"> .................................................................15</w:t>
      </w:r>
    </w:p>
    <w:p w:rsidR="007A0BB2" w:rsidRPr="00E54C97" w:rsidRDefault="007A0BB2" w:rsidP="007A0BB2">
      <w:pPr>
        <w:pStyle w:val="ListParagraph"/>
        <w:ind w:left="1350"/>
        <w:jc w:val="both"/>
        <w:rPr>
          <w:sz w:val="28"/>
          <w:szCs w:val="28"/>
        </w:rPr>
      </w:pPr>
    </w:p>
    <w:p w:rsidR="007A0BB2" w:rsidRPr="00906F69" w:rsidRDefault="007A0BB2" w:rsidP="007A0BB2">
      <w:pPr>
        <w:pStyle w:val="ListParagraph"/>
        <w:numPr>
          <w:ilvl w:val="0"/>
          <w:numId w:val="13"/>
        </w:numPr>
        <w:jc w:val="both"/>
        <w:rPr>
          <w:b/>
          <w:sz w:val="28"/>
          <w:szCs w:val="28"/>
        </w:rPr>
      </w:pPr>
      <w:r w:rsidRPr="00906F69">
        <w:rPr>
          <w:b/>
          <w:sz w:val="28"/>
          <w:szCs w:val="28"/>
        </w:rPr>
        <w:t xml:space="preserve">Drošības līdzekļu -apcietinājums, mājas arests </w:t>
      </w:r>
    </w:p>
    <w:p w:rsidR="007A0BB2" w:rsidRPr="00906F69" w:rsidRDefault="007A0BB2" w:rsidP="007A0BB2">
      <w:pPr>
        <w:pStyle w:val="ListParagraph"/>
        <w:jc w:val="both"/>
        <w:rPr>
          <w:b/>
          <w:sz w:val="28"/>
          <w:szCs w:val="28"/>
        </w:rPr>
      </w:pPr>
      <w:r w:rsidRPr="00906F69">
        <w:rPr>
          <w:b/>
          <w:sz w:val="28"/>
          <w:szCs w:val="28"/>
        </w:rPr>
        <w:t>un drošības naudas - piemērošanas kārtība</w:t>
      </w:r>
      <w:r>
        <w:rPr>
          <w:b/>
          <w:sz w:val="28"/>
          <w:szCs w:val="28"/>
        </w:rPr>
        <w:t xml:space="preserve"> </w:t>
      </w:r>
      <w:r w:rsidRPr="00906F69">
        <w:rPr>
          <w:sz w:val="28"/>
          <w:szCs w:val="28"/>
        </w:rPr>
        <w:t>.....</w:t>
      </w:r>
      <w:r>
        <w:rPr>
          <w:sz w:val="28"/>
          <w:szCs w:val="28"/>
        </w:rPr>
        <w:t>....................... 27</w:t>
      </w:r>
    </w:p>
    <w:p w:rsidR="007A0BB2" w:rsidRPr="00737902" w:rsidRDefault="007A0BB2" w:rsidP="007A0BB2">
      <w:pPr>
        <w:pStyle w:val="ListParagraph"/>
        <w:jc w:val="both"/>
        <w:rPr>
          <w:sz w:val="28"/>
          <w:szCs w:val="28"/>
        </w:rPr>
      </w:pPr>
    </w:p>
    <w:p w:rsidR="007A0BB2" w:rsidRPr="009F2398" w:rsidRDefault="007A0BB2" w:rsidP="007A0BB2">
      <w:pPr>
        <w:pStyle w:val="ListParagraph"/>
        <w:numPr>
          <w:ilvl w:val="1"/>
          <w:numId w:val="13"/>
        </w:numPr>
        <w:jc w:val="both"/>
        <w:rPr>
          <w:sz w:val="28"/>
          <w:szCs w:val="28"/>
        </w:rPr>
      </w:pPr>
      <w:r w:rsidRPr="009F2398">
        <w:rPr>
          <w:sz w:val="28"/>
          <w:szCs w:val="28"/>
        </w:rPr>
        <w:t>Apcietinājums</w:t>
      </w:r>
      <w:r>
        <w:rPr>
          <w:sz w:val="28"/>
          <w:szCs w:val="28"/>
        </w:rPr>
        <w:t xml:space="preserve"> ...................................................................... 27</w:t>
      </w:r>
    </w:p>
    <w:p w:rsidR="007A0BB2" w:rsidRPr="009F2398" w:rsidRDefault="007A0BB2" w:rsidP="007A0BB2">
      <w:pPr>
        <w:pStyle w:val="ListParagraph"/>
        <w:ind w:left="1350"/>
        <w:jc w:val="both"/>
        <w:rPr>
          <w:sz w:val="28"/>
          <w:szCs w:val="28"/>
        </w:rPr>
      </w:pPr>
    </w:p>
    <w:p w:rsidR="007A0BB2" w:rsidRPr="009F2398" w:rsidRDefault="007A0BB2" w:rsidP="007A0BB2">
      <w:pPr>
        <w:pStyle w:val="ListParagraph"/>
        <w:numPr>
          <w:ilvl w:val="1"/>
          <w:numId w:val="13"/>
        </w:numPr>
        <w:jc w:val="both"/>
        <w:rPr>
          <w:sz w:val="28"/>
          <w:szCs w:val="28"/>
        </w:rPr>
      </w:pPr>
      <w:r w:rsidRPr="009F2398">
        <w:rPr>
          <w:sz w:val="28"/>
          <w:szCs w:val="28"/>
        </w:rPr>
        <w:t>Apcietinājuma aizstāšana ar drošības naudu</w:t>
      </w:r>
      <w:r>
        <w:rPr>
          <w:sz w:val="28"/>
          <w:szCs w:val="28"/>
        </w:rPr>
        <w:t xml:space="preserve"> ....................... 36</w:t>
      </w:r>
    </w:p>
    <w:p w:rsidR="007A0BB2" w:rsidRPr="009F2398" w:rsidRDefault="007A0BB2" w:rsidP="007A0BB2">
      <w:pPr>
        <w:jc w:val="both"/>
        <w:rPr>
          <w:sz w:val="28"/>
          <w:szCs w:val="28"/>
        </w:rPr>
      </w:pPr>
    </w:p>
    <w:p w:rsidR="007A0BB2" w:rsidRDefault="007A0BB2" w:rsidP="007A0BB2">
      <w:pPr>
        <w:pStyle w:val="ListParagraph"/>
        <w:numPr>
          <w:ilvl w:val="1"/>
          <w:numId w:val="13"/>
        </w:numPr>
        <w:jc w:val="both"/>
        <w:rPr>
          <w:sz w:val="28"/>
          <w:szCs w:val="28"/>
        </w:rPr>
      </w:pPr>
      <w:r w:rsidRPr="009F2398">
        <w:rPr>
          <w:sz w:val="28"/>
          <w:szCs w:val="28"/>
        </w:rPr>
        <w:t>Mājas arests</w:t>
      </w:r>
      <w:r>
        <w:rPr>
          <w:sz w:val="28"/>
          <w:szCs w:val="28"/>
        </w:rPr>
        <w:t xml:space="preserve"> ......................................................................... 39</w:t>
      </w:r>
    </w:p>
    <w:p w:rsidR="007A0BB2" w:rsidRPr="009F2398" w:rsidRDefault="007A0BB2" w:rsidP="007A0BB2">
      <w:pPr>
        <w:pStyle w:val="ListParagraph"/>
        <w:rPr>
          <w:sz w:val="28"/>
          <w:szCs w:val="28"/>
        </w:rPr>
      </w:pPr>
    </w:p>
    <w:p w:rsidR="007A0BB2" w:rsidRPr="009F2398" w:rsidRDefault="007A0BB2" w:rsidP="007A0BB2">
      <w:pPr>
        <w:pStyle w:val="ListParagraph"/>
        <w:numPr>
          <w:ilvl w:val="1"/>
          <w:numId w:val="13"/>
        </w:numPr>
        <w:jc w:val="both"/>
        <w:rPr>
          <w:sz w:val="28"/>
          <w:szCs w:val="28"/>
        </w:rPr>
      </w:pPr>
      <w:r w:rsidRPr="009F2398">
        <w:rPr>
          <w:sz w:val="28"/>
          <w:szCs w:val="28"/>
        </w:rPr>
        <w:t>Drošības nauda</w:t>
      </w:r>
      <w:r>
        <w:rPr>
          <w:sz w:val="28"/>
          <w:szCs w:val="28"/>
        </w:rPr>
        <w:t xml:space="preserve"> .................................................................... 45</w:t>
      </w:r>
    </w:p>
    <w:p w:rsidR="007A0BB2" w:rsidRDefault="007A0BB2" w:rsidP="007A0BB2">
      <w:pPr>
        <w:jc w:val="both"/>
        <w:rPr>
          <w:sz w:val="28"/>
          <w:szCs w:val="28"/>
        </w:rPr>
      </w:pPr>
    </w:p>
    <w:p w:rsidR="007A0BB2" w:rsidRPr="007C58A3" w:rsidRDefault="007A0BB2" w:rsidP="007A0BB2">
      <w:pPr>
        <w:jc w:val="both"/>
        <w:rPr>
          <w:sz w:val="28"/>
          <w:szCs w:val="28"/>
        </w:rPr>
      </w:pPr>
      <w:r w:rsidRPr="00906F69">
        <w:rPr>
          <w:b/>
          <w:sz w:val="28"/>
          <w:szCs w:val="28"/>
        </w:rPr>
        <w:t>Secinājumi un priekšlikumi</w:t>
      </w:r>
      <w:r>
        <w:rPr>
          <w:sz w:val="28"/>
          <w:szCs w:val="28"/>
        </w:rPr>
        <w:t xml:space="preserve"> ................................................................. 55</w:t>
      </w:r>
    </w:p>
    <w:p w:rsidR="007A0BB2" w:rsidRDefault="007A0BB2" w:rsidP="007A0BB2">
      <w:pPr>
        <w:jc w:val="both"/>
        <w:rPr>
          <w:sz w:val="28"/>
          <w:szCs w:val="28"/>
        </w:rPr>
      </w:pPr>
    </w:p>
    <w:p w:rsidR="007A0BB2" w:rsidRPr="007C58A3" w:rsidRDefault="007A0BB2" w:rsidP="007A0BB2">
      <w:pPr>
        <w:jc w:val="both"/>
        <w:rPr>
          <w:sz w:val="28"/>
          <w:szCs w:val="28"/>
        </w:rPr>
      </w:pPr>
      <w:r w:rsidRPr="00906F69">
        <w:rPr>
          <w:b/>
          <w:sz w:val="28"/>
          <w:szCs w:val="28"/>
        </w:rPr>
        <w:t>Anotācija</w:t>
      </w:r>
      <w:r>
        <w:rPr>
          <w:sz w:val="28"/>
          <w:szCs w:val="28"/>
        </w:rPr>
        <w:t xml:space="preserve"> ............................................................................................... 60</w:t>
      </w:r>
    </w:p>
    <w:p w:rsidR="007A0BB2" w:rsidRDefault="007A0BB2" w:rsidP="007A0BB2">
      <w:pPr>
        <w:jc w:val="both"/>
        <w:rPr>
          <w:sz w:val="28"/>
          <w:szCs w:val="28"/>
        </w:rPr>
      </w:pPr>
    </w:p>
    <w:p w:rsidR="007A0BB2" w:rsidRPr="00906F69" w:rsidRDefault="007A0BB2" w:rsidP="007A0BB2">
      <w:pPr>
        <w:jc w:val="both"/>
        <w:rPr>
          <w:b/>
          <w:sz w:val="28"/>
          <w:szCs w:val="28"/>
        </w:rPr>
      </w:pPr>
      <w:r w:rsidRPr="00906F69">
        <w:rPr>
          <w:b/>
          <w:sz w:val="28"/>
          <w:szCs w:val="28"/>
        </w:rPr>
        <w:t xml:space="preserve">Izmantotās literatūras, normatīvo aktu </w:t>
      </w:r>
    </w:p>
    <w:p w:rsidR="007A0BB2" w:rsidRPr="007C58A3" w:rsidRDefault="007A0BB2" w:rsidP="007A0BB2">
      <w:pPr>
        <w:jc w:val="both"/>
        <w:rPr>
          <w:sz w:val="28"/>
          <w:szCs w:val="28"/>
        </w:rPr>
      </w:pPr>
      <w:r w:rsidRPr="00906F69">
        <w:rPr>
          <w:b/>
          <w:sz w:val="28"/>
          <w:szCs w:val="28"/>
        </w:rPr>
        <w:t>un tiesu prakses materiālu saraksts</w:t>
      </w:r>
      <w:r>
        <w:rPr>
          <w:sz w:val="28"/>
          <w:szCs w:val="28"/>
        </w:rPr>
        <w:t xml:space="preserve"> .................................................... 62</w:t>
      </w:r>
      <w:r w:rsidRPr="00BB698E">
        <w:rPr>
          <w:sz w:val="28"/>
          <w:szCs w:val="28"/>
        </w:rPr>
        <w:t xml:space="preserve"> </w:t>
      </w:r>
    </w:p>
    <w:p w:rsidR="007A0BB2" w:rsidRDefault="007A0BB2" w:rsidP="007A0BB2">
      <w:pPr>
        <w:jc w:val="both"/>
        <w:rPr>
          <w:sz w:val="28"/>
          <w:szCs w:val="28"/>
        </w:rPr>
      </w:pPr>
    </w:p>
    <w:p w:rsidR="007A0BB2" w:rsidRPr="007C58A3" w:rsidRDefault="007A0BB2" w:rsidP="007A0BB2">
      <w:pPr>
        <w:jc w:val="both"/>
        <w:rPr>
          <w:sz w:val="28"/>
          <w:szCs w:val="28"/>
        </w:rPr>
      </w:pPr>
      <w:r w:rsidRPr="00906F69">
        <w:rPr>
          <w:b/>
          <w:sz w:val="28"/>
          <w:szCs w:val="28"/>
        </w:rPr>
        <w:t>Pielikumi</w:t>
      </w:r>
      <w:r>
        <w:rPr>
          <w:sz w:val="28"/>
          <w:szCs w:val="28"/>
        </w:rPr>
        <w:t xml:space="preserve"> .................................................................................................65</w:t>
      </w:r>
    </w:p>
    <w:p w:rsidR="007A0BB2" w:rsidRPr="00261ABF" w:rsidRDefault="007A0BB2" w:rsidP="007A0BB2"/>
    <w:p w:rsidR="007A0BB2" w:rsidRDefault="007A0BB2" w:rsidP="007A0BB2">
      <w:pPr>
        <w:jc w:val="center"/>
        <w:rPr>
          <w:sz w:val="28"/>
          <w:szCs w:val="28"/>
        </w:rPr>
      </w:pPr>
    </w:p>
    <w:p w:rsidR="007A0BB2" w:rsidRDefault="007A0BB2" w:rsidP="007A0BB2">
      <w:pPr>
        <w:jc w:val="center"/>
        <w:rPr>
          <w:sz w:val="28"/>
          <w:szCs w:val="28"/>
        </w:rPr>
      </w:pPr>
    </w:p>
    <w:p w:rsidR="007A0BB2" w:rsidRDefault="007A0BB2" w:rsidP="007A0BB2">
      <w:pPr>
        <w:jc w:val="center"/>
        <w:rPr>
          <w:sz w:val="28"/>
          <w:szCs w:val="28"/>
        </w:rPr>
      </w:pPr>
    </w:p>
    <w:p w:rsidR="007A0BB2" w:rsidRDefault="007A0BB2" w:rsidP="007A0BB2">
      <w:pPr>
        <w:jc w:val="center"/>
        <w:rPr>
          <w:sz w:val="28"/>
          <w:szCs w:val="28"/>
        </w:rPr>
      </w:pPr>
    </w:p>
    <w:p w:rsidR="007A0BB2" w:rsidRDefault="007A0BB2" w:rsidP="007A0BB2">
      <w:pPr>
        <w:rPr>
          <w:sz w:val="28"/>
          <w:szCs w:val="28"/>
        </w:rPr>
      </w:pPr>
    </w:p>
    <w:p w:rsidR="007A0BB2" w:rsidRDefault="007A0BB2" w:rsidP="007A0BB2">
      <w:pPr>
        <w:jc w:val="center"/>
        <w:rPr>
          <w:sz w:val="28"/>
          <w:szCs w:val="28"/>
        </w:rPr>
      </w:pPr>
    </w:p>
    <w:p w:rsidR="007A0BB2" w:rsidRDefault="007A0BB2" w:rsidP="007A0BB2">
      <w:pPr>
        <w:rPr>
          <w:sz w:val="28"/>
          <w:szCs w:val="28"/>
        </w:rPr>
      </w:pPr>
    </w:p>
    <w:p w:rsidR="007A0BB2" w:rsidRPr="00887EE4" w:rsidRDefault="007A0BB2" w:rsidP="007A0BB2">
      <w:pPr>
        <w:jc w:val="center"/>
        <w:rPr>
          <w:b/>
          <w:sz w:val="28"/>
          <w:szCs w:val="28"/>
        </w:rPr>
      </w:pPr>
      <w:r w:rsidRPr="00887EE4">
        <w:rPr>
          <w:b/>
          <w:sz w:val="28"/>
          <w:szCs w:val="28"/>
        </w:rPr>
        <w:t>IEVADS</w:t>
      </w:r>
    </w:p>
    <w:p w:rsidR="007A0BB2" w:rsidRPr="00235828" w:rsidRDefault="007A0BB2" w:rsidP="007A0BB2">
      <w:pPr>
        <w:tabs>
          <w:tab w:val="left" w:pos="5610"/>
        </w:tabs>
        <w:ind w:firstLine="720"/>
        <w:jc w:val="both"/>
        <w:rPr>
          <w:sz w:val="28"/>
          <w:szCs w:val="28"/>
        </w:rPr>
      </w:pPr>
      <w:r>
        <w:rPr>
          <w:sz w:val="28"/>
          <w:szCs w:val="28"/>
        </w:rPr>
        <w:tab/>
      </w:r>
    </w:p>
    <w:p w:rsidR="007A0BB2" w:rsidRPr="00235828" w:rsidRDefault="007A0BB2" w:rsidP="007A0BB2">
      <w:pPr>
        <w:ind w:firstLine="720"/>
        <w:jc w:val="both"/>
        <w:rPr>
          <w:sz w:val="28"/>
          <w:szCs w:val="28"/>
        </w:rPr>
      </w:pPr>
      <w:r w:rsidRPr="00235828">
        <w:rPr>
          <w:sz w:val="28"/>
          <w:szCs w:val="28"/>
        </w:rPr>
        <w:t>2005.gada 21.aprīlī Latvijas Republikas Saeima pieņēma jaunu Kriminālprocesa likumu</w:t>
      </w:r>
      <w:r>
        <w:rPr>
          <w:sz w:val="28"/>
          <w:szCs w:val="28"/>
        </w:rPr>
        <w:t xml:space="preserve"> (turpmāk –</w:t>
      </w:r>
      <w:r w:rsidRPr="00235828">
        <w:rPr>
          <w:sz w:val="28"/>
          <w:szCs w:val="28"/>
        </w:rPr>
        <w:t xml:space="preserve"> KPL</w:t>
      </w:r>
      <w:r>
        <w:rPr>
          <w:sz w:val="28"/>
          <w:szCs w:val="28"/>
        </w:rPr>
        <w:t>)</w:t>
      </w:r>
      <w:r w:rsidRPr="00235828">
        <w:rPr>
          <w:sz w:val="28"/>
          <w:szCs w:val="28"/>
        </w:rPr>
        <w:t>, kas stājās spēkā 2005.gada 1.oktobrī. Ar KPL stāšanos spēkā spēku zaudēja Latvijas kriminālprocesa kodekss, kurš bija spēkā no 1961.gada 1.aprīļa. Jaunā KPL pieņemšana Latvijā tiek uzskatīta par vienu no svarīgākajiem soļie</w:t>
      </w:r>
      <w:r>
        <w:rPr>
          <w:sz w:val="28"/>
          <w:szCs w:val="28"/>
        </w:rPr>
        <w:t xml:space="preserve">m pirmstiesas procesa un tiesas </w:t>
      </w:r>
      <w:r w:rsidRPr="00235828">
        <w:rPr>
          <w:sz w:val="28"/>
          <w:szCs w:val="28"/>
        </w:rPr>
        <w:t>izmeklēšanas efektivitātes un cilvēktiesību nodrošināšanā.</w:t>
      </w:r>
    </w:p>
    <w:p w:rsidR="007A0BB2" w:rsidRPr="00235828" w:rsidRDefault="007A0BB2" w:rsidP="007A0BB2">
      <w:pPr>
        <w:ind w:firstLine="720"/>
        <w:jc w:val="both"/>
        <w:rPr>
          <w:sz w:val="28"/>
          <w:szCs w:val="28"/>
        </w:rPr>
      </w:pPr>
      <w:r w:rsidRPr="00235828">
        <w:rPr>
          <w:sz w:val="28"/>
          <w:szCs w:val="28"/>
        </w:rPr>
        <w:t xml:space="preserve">Ir pagājuši vairāk nekā trīs gadi kopš jaunais KPL tiek piemērots praksē un pa šo laiku KPL ir jau veikti 7 reizes grozījumi un papildinājumi, kuru mērķis ir bijis nepilnību novēršana un likuma normu pilnveidošana, tā sekmējot un atvieglojot pirmstiesas procesa un tiesas izmeklēšanas darbu piemērojot KPL normas. </w:t>
      </w:r>
    </w:p>
    <w:p w:rsidR="007A0BB2" w:rsidRPr="00235828" w:rsidRDefault="007A0BB2" w:rsidP="007A0BB2">
      <w:pPr>
        <w:ind w:firstLine="720"/>
        <w:jc w:val="both"/>
        <w:rPr>
          <w:sz w:val="28"/>
          <w:szCs w:val="28"/>
        </w:rPr>
      </w:pPr>
      <w:r w:rsidRPr="00235828">
        <w:rPr>
          <w:sz w:val="28"/>
          <w:szCs w:val="28"/>
        </w:rPr>
        <w:t>Uz šo brīdi Saeimā Juridiskās komisijas apakškomisijā darbam ar KPL, tiek skatīti un gatavoti  trešajam lasījumam gan redakcionā</w:t>
      </w:r>
      <w:r>
        <w:rPr>
          <w:sz w:val="28"/>
          <w:szCs w:val="28"/>
        </w:rPr>
        <w:t>li, gan pēc būtības apjomīgi grozījumi, ko ir sagatavojusi T</w:t>
      </w:r>
      <w:r w:rsidRPr="00235828">
        <w:rPr>
          <w:sz w:val="28"/>
          <w:szCs w:val="28"/>
        </w:rPr>
        <w:t xml:space="preserve">ieslietu ministrijas </w:t>
      </w:r>
      <w:r>
        <w:rPr>
          <w:sz w:val="28"/>
          <w:szCs w:val="28"/>
        </w:rPr>
        <w:t xml:space="preserve">(turpmāk – TM), </w:t>
      </w:r>
      <w:r w:rsidRPr="00235828">
        <w:rPr>
          <w:sz w:val="28"/>
          <w:szCs w:val="28"/>
        </w:rPr>
        <w:t>darba grupa. Kriminālprocesa pastāvīga pilnveidošana norāda uz to, ka praksē ir ne vienmēr tā kā teorijā.</w:t>
      </w:r>
    </w:p>
    <w:p w:rsidR="007A0BB2" w:rsidRPr="00235828" w:rsidRDefault="007A0BB2" w:rsidP="007A0BB2">
      <w:pPr>
        <w:ind w:firstLine="720"/>
        <w:jc w:val="both"/>
        <w:rPr>
          <w:sz w:val="28"/>
          <w:szCs w:val="28"/>
        </w:rPr>
      </w:pPr>
      <w:r w:rsidRPr="00235828">
        <w:rPr>
          <w:sz w:val="28"/>
          <w:szCs w:val="28"/>
        </w:rPr>
        <w:t xml:space="preserve">Pētījuma mērķis ir parādīt neskaidrības, sarežģījumus, pretrunīgas situācijas un problēmas tiesību normu piemērošanā, kas rodas no nepietiekama normu regulējuma un kļūdainas normu interpretācijas no piemērotāju puses, kas attiecas uz dažiem drošības līdzekļiem- </w:t>
      </w:r>
      <w:r w:rsidRPr="00235828">
        <w:rPr>
          <w:i/>
          <w:sz w:val="28"/>
          <w:szCs w:val="28"/>
        </w:rPr>
        <w:t>apcietinājums, mājas arests un drošības nauda.</w:t>
      </w:r>
      <w:r>
        <w:rPr>
          <w:sz w:val="28"/>
          <w:szCs w:val="28"/>
        </w:rPr>
        <w:t xml:space="preserve"> Analizējot konkrētās kriminālprocesuālās</w:t>
      </w:r>
      <w:r w:rsidRPr="00235828">
        <w:rPr>
          <w:sz w:val="28"/>
          <w:szCs w:val="28"/>
        </w:rPr>
        <w:t xml:space="preserve"> attiecības un norādot tiesiskos argumentus, autors piedāvās problēmu risinājumu.</w:t>
      </w:r>
    </w:p>
    <w:p w:rsidR="007A0BB2" w:rsidRDefault="007A0BB2" w:rsidP="007A0BB2">
      <w:pPr>
        <w:ind w:firstLine="720"/>
        <w:jc w:val="both"/>
        <w:rPr>
          <w:sz w:val="28"/>
          <w:szCs w:val="28"/>
        </w:rPr>
      </w:pPr>
      <w:r w:rsidRPr="00235828">
        <w:rPr>
          <w:sz w:val="28"/>
          <w:szCs w:val="28"/>
        </w:rPr>
        <w:tab/>
      </w:r>
      <w:r>
        <w:rPr>
          <w:sz w:val="28"/>
          <w:szCs w:val="28"/>
        </w:rPr>
        <w:t>Uz problēmu esamību kriminālprocesā norāda arī 2008.gada 14.novembrī notikusī Latvijas Universitātē zinātniski-praktiskā konference ‘’Kurp ved Kriminālprocesa likums?’’, kas tika veltīta kriminālprocesa trīs gadu darbības jubilejai. Konferencē bija sapulcināti gan zinātnieki –teorētiķi, gan praktiķi t.i. kriminālprocesā iesaistītās personas - tiesneši, prokurori un advokāti. Konferencē tika spriests par kriminālprocesa problēmām, kas rodas praksē piemērojot tiesību normas, kā arī tika diskutēts par nepieciešamību pilnveidot kriminālprocesu ar mērķi novērst nepilnības un trūkumus.</w:t>
      </w:r>
    </w:p>
    <w:p w:rsidR="007A0BB2" w:rsidRPr="00235828" w:rsidRDefault="007A0BB2" w:rsidP="007A0BB2">
      <w:pPr>
        <w:ind w:firstLine="720"/>
        <w:jc w:val="both"/>
        <w:rPr>
          <w:sz w:val="28"/>
          <w:szCs w:val="28"/>
        </w:rPr>
      </w:pPr>
      <w:r w:rsidRPr="00235828">
        <w:rPr>
          <w:sz w:val="28"/>
          <w:szCs w:val="28"/>
        </w:rPr>
        <w:t>Izvēlēto darba temata aktualitāti nosaka tas, ka šo piespiedu līdzekļu piemērošana skar tik fundamentālas aizdomās turētās un apsūdzētās personas tiesības, kā tiesības uz brīvību, mantiskās tiesības, kā arī tiek ierobežotas šo personu cilvēktiesības.</w:t>
      </w:r>
    </w:p>
    <w:p w:rsidR="007A0BB2" w:rsidRPr="00235828" w:rsidRDefault="007A0BB2" w:rsidP="007A0BB2">
      <w:pPr>
        <w:ind w:firstLine="720"/>
        <w:jc w:val="both"/>
        <w:rPr>
          <w:i/>
          <w:sz w:val="28"/>
          <w:szCs w:val="28"/>
        </w:rPr>
      </w:pPr>
      <w:r w:rsidRPr="00235828">
        <w:rPr>
          <w:sz w:val="28"/>
          <w:szCs w:val="28"/>
        </w:rPr>
        <w:t>Lai noskaidrotu cik precīzi, nepārprotami un vispusīgi ir atspoguļotas n</w:t>
      </w:r>
      <w:r>
        <w:rPr>
          <w:sz w:val="28"/>
          <w:szCs w:val="28"/>
        </w:rPr>
        <w:t>ormas, kas nosaka dažu</w:t>
      </w:r>
      <w:r w:rsidRPr="00235828">
        <w:rPr>
          <w:sz w:val="28"/>
          <w:szCs w:val="28"/>
        </w:rPr>
        <w:t xml:space="preserve"> drošības līdzekļu piemērošanu- </w:t>
      </w:r>
      <w:r w:rsidRPr="00235828">
        <w:rPr>
          <w:i/>
          <w:sz w:val="28"/>
          <w:szCs w:val="28"/>
        </w:rPr>
        <w:t>apcietinājums, mājas arests un drošības nauda</w:t>
      </w:r>
      <w:r w:rsidRPr="00235828">
        <w:rPr>
          <w:sz w:val="28"/>
          <w:szCs w:val="28"/>
        </w:rPr>
        <w:t>, autors ir nolēmis ar</w:t>
      </w:r>
      <w:r>
        <w:rPr>
          <w:sz w:val="28"/>
          <w:szCs w:val="28"/>
        </w:rPr>
        <w:t xml:space="preserve"> </w:t>
      </w:r>
      <w:r>
        <w:rPr>
          <w:sz w:val="28"/>
          <w:szCs w:val="28"/>
        </w:rPr>
        <w:lastRenderedPageBreak/>
        <w:t>salīdzinošās metodes palīdzību</w:t>
      </w:r>
      <w:r w:rsidRPr="00235828">
        <w:rPr>
          <w:sz w:val="28"/>
          <w:szCs w:val="28"/>
        </w:rPr>
        <w:t xml:space="preserve"> noskaidrot</w:t>
      </w:r>
      <w:r>
        <w:rPr>
          <w:sz w:val="28"/>
          <w:szCs w:val="28"/>
        </w:rPr>
        <w:t>,</w:t>
      </w:r>
      <w:r w:rsidRPr="00235828">
        <w:rPr>
          <w:sz w:val="28"/>
          <w:szCs w:val="28"/>
        </w:rPr>
        <w:t xml:space="preserve"> kā citos ārvalstu kodeksos tiek </w:t>
      </w:r>
      <w:r>
        <w:rPr>
          <w:sz w:val="28"/>
          <w:szCs w:val="28"/>
        </w:rPr>
        <w:t>reglamentēti līdzīgi tiesību institūti</w:t>
      </w:r>
      <w:r w:rsidRPr="00235828">
        <w:rPr>
          <w:sz w:val="28"/>
          <w:szCs w:val="28"/>
        </w:rPr>
        <w:t>, nolūkā konstatēt veiksmīgāko un piemērotāko situācijas risinājumu, lai izlemtu vai ir nepieciešams kaut ko aizgūt no ārvalstu: Lietuvas</w:t>
      </w:r>
      <w:r>
        <w:rPr>
          <w:rStyle w:val="FootnoteReference"/>
          <w:sz w:val="28"/>
          <w:szCs w:val="28"/>
        </w:rPr>
        <w:footnoteReference w:id="2"/>
      </w:r>
      <w:r w:rsidRPr="00235828">
        <w:rPr>
          <w:sz w:val="28"/>
          <w:szCs w:val="28"/>
        </w:rPr>
        <w:t>, Igaunijas</w:t>
      </w:r>
      <w:r>
        <w:rPr>
          <w:rStyle w:val="FootnoteReference"/>
          <w:sz w:val="28"/>
          <w:szCs w:val="28"/>
        </w:rPr>
        <w:footnoteReference w:id="3"/>
      </w:r>
      <w:r w:rsidRPr="00235828">
        <w:rPr>
          <w:sz w:val="28"/>
          <w:szCs w:val="28"/>
        </w:rPr>
        <w:t>, Krievijas Federācijas</w:t>
      </w:r>
      <w:r>
        <w:rPr>
          <w:rStyle w:val="FootnoteReference"/>
          <w:sz w:val="28"/>
          <w:szCs w:val="28"/>
        </w:rPr>
        <w:footnoteReference w:id="4"/>
      </w:r>
      <w:r>
        <w:rPr>
          <w:sz w:val="28"/>
          <w:szCs w:val="28"/>
        </w:rPr>
        <w:t xml:space="preserve"> un Vācijas</w:t>
      </w:r>
      <w:r>
        <w:rPr>
          <w:rStyle w:val="FootnoteReference"/>
          <w:sz w:val="28"/>
          <w:szCs w:val="28"/>
        </w:rPr>
        <w:footnoteReference w:id="5"/>
      </w:r>
      <w:r>
        <w:rPr>
          <w:sz w:val="28"/>
          <w:szCs w:val="28"/>
        </w:rPr>
        <w:t xml:space="preserve"> kodeksiem. Neapstrīd</w:t>
      </w:r>
      <w:r w:rsidRPr="00235828">
        <w:rPr>
          <w:sz w:val="28"/>
          <w:szCs w:val="28"/>
        </w:rPr>
        <w:t xml:space="preserve">ami, ka  tiesību normas, kas  ir pēc iespējas pilnīgāk formulētas praksē nerada neskaidrības to piemērošanā. </w:t>
      </w:r>
    </w:p>
    <w:p w:rsidR="007A0BB2" w:rsidRPr="00235828" w:rsidRDefault="007A0BB2" w:rsidP="007A0BB2">
      <w:pPr>
        <w:ind w:firstLine="720"/>
        <w:jc w:val="both"/>
        <w:rPr>
          <w:sz w:val="28"/>
          <w:szCs w:val="28"/>
        </w:rPr>
      </w:pPr>
      <w:r w:rsidRPr="00235828">
        <w:rPr>
          <w:sz w:val="28"/>
          <w:szCs w:val="28"/>
        </w:rPr>
        <w:t xml:space="preserve">Pētījumā tiks atspoguļota un analizēta piespiedu drošības līdzekļu - </w:t>
      </w:r>
      <w:r w:rsidRPr="00235828">
        <w:rPr>
          <w:i/>
          <w:sz w:val="28"/>
          <w:szCs w:val="28"/>
        </w:rPr>
        <w:t>apcietinājums, mājas arests un drošības nauda</w:t>
      </w:r>
      <w:r w:rsidRPr="00235828">
        <w:rPr>
          <w:sz w:val="28"/>
          <w:szCs w:val="28"/>
        </w:rPr>
        <w:t>, vieta kriminālprocesuālo piespiedu līdzekļu sistēmā, piespiedu drošības līdzekļu piemērošanas pamats, nosacījumi, ierobežojumu piemērošana, pārsūdzības kārtība, turpmākas izvērtēšanas nepieciešamība, pagarināšana, grozīšana</w:t>
      </w:r>
      <w:r>
        <w:rPr>
          <w:sz w:val="28"/>
          <w:szCs w:val="28"/>
        </w:rPr>
        <w:t xml:space="preserve"> un atcelšana</w:t>
      </w:r>
      <w:r w:rsidRPr="00235828">
        <w:rPr>
          <w:sz w:val="28"/>
          <w:szCs w:val="28"/>
        </w:rPr>
        <w:t>.</w:t>
      </w:r>
    </w:p>
    <w:p w:rsidR="007A0BB2" w:rsidRPr="00235828" w:rsidRDefault="007A0BB2" w:rsidP="007A0BB2">
      <w:pPr>
        <w:ind w:firstLine="720"/>
        <w:jc w:val="both"/>
        <w:rPr>
          <w:sz w:val="28"/>
          <w:szCs w:val="28"/>
        </w:rPr>
      </w:pPr>
      <w:r w:rsidRPr="00235828">
        <w:rPr>
          <w:sz w:val="28"/>
          <w:szCs w:val="28"/>
        </w:rPr>
        <w:t>Autors darbā analizēs tiesu prakses materiālus- procesa virzītāja lēmumus, ierosinājumus par apcietināju</w:t>
      </w:r>
      <w:r>
        <w:rPr>
          <w:sz w:val="28"/>
          <w:szCs w:val="28"/>
        </w:rPr>
        <w:t>ma piemērošanu, tiesas lēmumus, atzinumus, TM</w:t>
      </w:r>
      <w:r w:rsidRPr="00235828">
        <w:rPr>
          <w:sz w:val="28"/>
          <w:szCs w:val="28"/>
        </w:rPr>
        <w:t xml:space="preserve"> sagatav</w:t>
      </w:r>
      <w:r>
        <w:rPr>
          <w:sz w:val="28"/>
          <w:szCs w:val="28"/>
        </w:rPr>
        <w:t xml:space="preserve">otos KPL grozījumus </w:t>
      </w:r>
      <w:r w:rsidRPr="00235828">
        <w:rPr>
          <w:sz w:val="28"/>
          <w:szCs w:val="28"/>
        </w:rPr>
        <w:t>un izvērtēs to atbilstību LR Satversmei, Cilvēktiesību un pamatbrīvību aizsardzības konvencijai</w:t>
      </w:r>
      <w:r>
        <w:rPr>
          <w:sz w:val="28"/>
          <w:szCs w:val="28"/>
        </w:rPr>
        <w:t xml:space="preserve"> (turpmāk - Konvencija)</w:t>
      </w:r>
      <w:r w:rsidRPr="00235828">
        <w:rPr>
          <w:sz w:val="28"/>
          <w:szCs w:val="28"/>
        </w:rPr>
        <w:t>, un Eiropas cilvēktiesību tiesas spriedumiem.</w:t>
      </w:r>
    </w:p>
    <w:tbl>
      <w:tblPr>
        <w:tblW w:w="0" w:type="auto"/>
        <w:tblCellMar>
          <w:left w:w="0" w:type="dxa"/>
          <w:right w:w="0" w:type="dxa"/>
        </w:tblCellMar>
        <w:tblLook w:val="04A0"/>
      </w:tblPr>
      <w:tblGrid>
        <w:gridCol w:w="109"/>
        <w:gridCol w:w="6"/>
      </w:tblGrid>
      <w:tr w:rsidR="007A0BB2" w:rsidRPr="00235828" w:rsidTr="00412A28">
        <w:tc>
          <w:tcPr>
            <w:tcW w:w="0" w:type="auto"/>
            <w:gridSpan w:val="2"/>
            <w:tcBorders>
              <w:top w:val="nil"/>
              <w:left w:val="nil"/>
              <w:bottom w:val="nil"/>
              <w:right w:val="nil"/>
            </w:tcBorders>
            <w:shd w:val="clear" w:color="auto" w:fill="FFFFFF"/>
            <w:hideMark/>
          </w:tcPr>
          <w:p w:rsidR="007A0BB2" w:rsidRPr="00235828" w:rsidRDefault="007A0BB2" w:rsidP="00412A28">
            <w:pPr>
              <w:rPr>
                <w:b/>
                <w:bCs/>
                <w:color w:val="000000"/>
                <w:sz w:val="28"/>
                <w:szCs w:val="28"/>
              </w:rPr>
            </w:pPr>
          </w:p>
        </w:tc>
      </w:tr>
      <w:tr w:rsidR="007A0BB2" w:rsidRPr="00235828" w:rsidTr="00412A28">
        <w:tc>
          <w:tcPr>
            <w:tcW w:w="93" w:type="dxa"/>
            <w:tcBorders>
              <w:top w:val="nil"/>
              <w:left w:val="nil"/>
              <w:bottom w:val="nil"/>
              <w:right w:val="nil"/>
            </w:tcBorders>
            <w:shd w:val="clear" w:color="auto" w:fill="FFFFFF"/>
            <w:noWrap/>
            <w:hideMark/>
          </w:tcPr>
          <w:p w:rsidR="007A0BB2" w:rsidRPr="00235828" w:rsidRDefault="007A0BB2" w:rsidP="00412A28">
            <w:pPr>
              <w:rPr>
                <w:color w:val="000000"/>
                <w:sz w:val="28"/>
                <w:szCs w:val="28"/>
              </w:rPr>
            </w:pPr>
          </w:p>
        </w:tc>
        <w:tc>
          <w:tcPr>
            <w:tcW w:w="0" w:type="auto"/>
            <w:tcBorders>
              <w:top w:val="nil"/>
              <w:left w:val="nil"/>
              <w:bottom w:val="nil"/>
              <w:right w:val="nil"/>
            </w:tcBorders>
            <w:shd w:val="clear" w:color="auto" w:fill="FFFFFF"/>
            <w:hideMark/>
          </w:tcPr>
          <w:p w:rsidR="007A0BB2" w:rsidRPr="00235828" w:rsidRDefault="007A0BB2" w:rsidP="00412A28">
            <w:pPr>
              <w:rPr>
                <w:color w:val="000000"/>
                <w:sz w:val="28"/>
                <w:szCs w:val="28"/>
              </w:rPr>
            </w:pPr>
          </w:p>
        </w:tc>
      </w:tr>
      <w:tr w:rsidR="007A0BB2" w:rsidRPr="00235828" w:rsidTr="00412A28">
        <w:tc>
          <w:tcPr>
            <w:tcW w:w="93" w:type="dxa"/>
            <w:tcBorders>
              <w:top w:val="nil"/>
              <w:left w:val="nil"/>
              <w:bottom w:val="nil"/>
              <w:right w:val="nil"/>
            </w:tcBorders>
            <w:shd w:val="clear" w:color="auto" w:fill="FFFFFF"/>
            <w:noWrap/>
            <w:hideMark/>
          </w:tcPr>
          <w:p w:rsidR="007A0BB2" w:rsidRPr="00235828" w:rsidRDefault="007A0BB2" w:rsidP="00412A28">
            <w:pPr>
              <w:rPr>
                <w:color w:val="000000"/>
                <w:sz w:val="28"/>
                <w:szCs w:val="28"/>
              </w:rPr>
            </w:pPr>
          </w:p>
        </w:tc>
        <w:tc>
          <w:tcPr>
            <w:tcW w:w="0" w:type="auto"/>
            <w:tcBorders>
              <w:top w:val="nil"/>
              <w:left w:val="nil"/>
              <w:bottom w:val="nil"/>
              <w:right w:val="nil"/>
            </w:tcBorders>
            <w:shd w:val="clear" w:color="auto" w:fill="FFFFFF"/>
            <w:hideMark/>
          </w:tcPr>
          <w:p w:rsidR="007A0BB2" w:rsidRPr="00235828" w:rsidRDefault="007A0BB2" w:rsidP="00412A28">
            <w:pPr>
              <w:rPr>
                <w:color w:val="000000"/>
                <w:sz w:val="28"/>
                <w:szCs w:val="28"/>
              </w:rPr>
            </w:pPr>
          </w:p>
        </w:tc>
      </w:tr>
      <w:tr w:rsidR="007A0BB2" w:rsidRPr="00235828" w:rsidTr="00412A28">
        <w:tc>
          <w:tcPr>
            <w:tcW w:w="93" w:type="dxa"/>
            <w:tcBorders>
              <w:top w:val="nil"/>
              <w:left w:val="nil"/>
              <w:bottom w:val="nil"/>
              <w:right w:val="nil"/>
            </w:tcBorders>
            <w:shd w:val="clear" w:color="auto" w:fill="FFFFFF"/>
            <w:noWrap/>
            <w:hideMark/>
          </w:tcPr>
          <w:p w:rsidR="007A0BB2" w:rsidRPr="00235828" w:rsidRDefault="007A0BB2" w:rsidP="00412A28">
            <w:pPr>
              <w:rPr>
                <w:color w:val="000000"/>
                <w:sz w:val="28"/>
                <w:szCs w:val="28"/>
              </w:rPr>
            </w:pPr>
          </w:p>
        </w:tc>
        <w:tc>
          <w:tcPr>
            <w:tcW w:w="0" w:type="auto"/>
            <w:tcBorders>
              <w:top w:val="nil"/>
              <w:left w:val="nil"/>
              <w:bottom w:val="nil"/>
              <w:right w:val="nil"/>
            </w:tcBorders>
            <w:shd w:val="clear" w:color="auto" w:fill="FFFFFF"/>
            <w:hideMark/>
          </w:tcPr>
          <w:p w:rsidR="007A0BB2" w:rsidRPr="00235828" w:rsidRDefault="007A0BB2" w:rsidP="00412A28">
            <w:pPr>
              <w:rPr>
                <w:color w:val="000000"/>
                <w:sz w:val="28"/>
                <w:szCs w:val="28"/>
              </w:rPr>
            </w:pPr>
          </w:p>
        </w:tc>
      </w:tr>
      <w:tr w:rsidR="007A0BB2" w:rsidRPr="00235828" w:rsidTr="00412A28">
        <w:tc>
          <w:tcPr>
            <w:tcW w:w="93" w:type="dxa"/>
            <w:tcBorders>
              <w:top w:val="nil"/>
              <w:left w:val="nil"/>
              <w:bottom w:val="nil"/>
              <w:right w:val="nil"/>
            </w:tcBorders>
            <w:shd w:val="clear" w:color="auto" w:fill="FFFFFF"/>
            <w:noWrap/>
            <w:hideMark/>
          </w:tcPr>
          <w:p w:rsidR="007A0BB2" w:rsidRPr="00235828" w:rsidRDefault="007A0BB2" w:rsidP="00412A28">
            <w:pPr>
              <w:rPr>
                <w:color w:val="000000"/>
                <w:sz w:val="28"/>
                <w:szCs w:val="28"/>
              </w:rPr>
            </w:pPr>
          </w:p>
        </w:tc>
        <w:tc>
          <w:tcPr>
            <w:tcW w:w="0" w:type="auto"/>
            <w:tcBorders>
              <w:top w:val="nil"/>
              <w:left w:val="nil"/>
              <w:bottom w:val="nil"/>
              <w:right w:val="nil"/>
            </w:tcBorders>
            <w:shd w:val="clear" w:color="auto" w:fill="FFFFFF"/>
            <w:hideMark/>
          </w:tcPr>
          <w:p w:rsidR="007A0BB2" w:rsidRPr="00235828" w:rsidRDefault="007A0BB2" w:rsidP="00412A28">
            <w:pPr>
              <w:rPr>
                <w:color w:val="000000"/>
                <w:sz w:val="28"/>
                <w:szCs w:val="28"/>
              </w:rPr>
            </w:pPr>
          </w:p>
        </w:tc>
      </w:tr>
      <w:tr w:rsidR="007A0BB2" w:rsidRPr="00235828" w:rsidTr="00412A28">
        <w:tc>
          <w:tcPr>
            <w:tcW w:w="93" w:type="dxa"/>
            <w:tcBorders>
              <w:top w:val="nil"/>
              <w:left w:val="nil"/>
              <w:bottom w:val="nil"/>
              <w:right w:val="nil"/>
            </w:tcBorders>
            <w:shd w:val="clear" w:color="auto" w:fill="FFFFFF"/>
            <w:noWrap/>
            <w:hideMark/>
          </w:tcPr>
          <w:p w:rsidR="007A0BB2" w:rsidRPr="00235828" w:rsidRDefault="007A0BB2" w:rsidP="00412A28">
            <w:pPr>
              <w:rPr>
                <w:color w:val="000000"/>
                <w:sz w:val="28"/>
                <w:szCs w:val="28"/>
              </w:rPr>
            </w:pPr>
          </w:p>
        </w:tc>
        <w:tc>
          <w:tcPr>
            <w:tcW w:w="0" w:type="auto"/>
            <w:tcBorders>
              <w:top w:val="nil"/>
              <w:left w:val="nil"/>
              <w:bottom w:val="nil"/>
              <w:right w:val="nil"/>
            </w:tcBorders>
            <w:shd w:val="clear" w:color="auto" w:fill="FFFFFF"/>
            <w:hideMark/>
          </w:tcPr>
          <w:p w:rsidR="007A0BB2" w:rsidRPr="00235828" w:rsidRDefault="007A0BB2" w:rsidP="00412A28">
            <w:pPr>
              <w:rPr>
                <w:color w:val="000000"/>
                <w:sz w:val="28"/>
                <w:szCs w:val="28"/>
              </w:rPr>
            </w:pPr>
          </w:p>
        </w:tc>
      </w:tr>
    </w:tbl>
    <w:p w:rsidR="007A0BB2" w:rsidRPr="00235828" w:rsidRDefault="007A0BB2" w:rsidP="007A0BB2">
      <w:pPr>
        <w:ind w:firstLine="720"/>
        <w:jc w:val="both"/>
        <w:rPr>
          <w:sz w:val="28"/>
          <w:szCs w:val="28"/>
        </w:rPr>
      </w:pPr>
      <w:r w:rsidRPr="00235828">
        <w:rPr>
          <w:sz w:val="28"/>
          <w:szCs w:val="28"/>
        </w:rPr>
        <w:t>Īpaša uzmanība darbā tiks pievērsta cilvēktiesību ievērošanai un tās kontrolei</w:t>
      </w:r>
      <w:r>
        <w:rPr>
          <w:sz w:val="28"/>
          <w:szCs w:val="28"/>
        </w:rPr>
        <w:t>, piemērojot</w:t>
      </w:r>
      <w:r w:rsidRPr="00235828">
        <w:rPr>
          <w:sz w:val="28"/>
          <w:szCs w:val="28"/>
        </w:rPr>
        <w:t xml:space="preserve"> apskatāmos piespiedu drošības līdzekļus, kuru</w:t>
      </w:r>
      <w:r>
        <w:rPr>
          <w:sz w:val="28"/>
          <w:szCs w:val="28"/>
        </w:rPr>
        <w:t>s</w:t>
      </w:r>
      <w:r w:rsidRPr="00235828">
        <w:rPr>
          <w:sz w:val="28"/>
          <w:szCs w:val="28"/>
        </w:rPr>
        <w:t xml:space="preserve"> veic izmeklēšanas tiesnesis.</w:t>
      </w:r>
      <w:r>
        <w:rPr>
          <w:sz w:val="28"/>
          <w:szCs w:val="28"/>
        </w:rPr>
        <w:t xml:space="preserve"> Autors izteiks viedokli, kāpēc būtu jāpaplašina izmeklēšanas tiesneša pilnvaras</w:t>
      </w:r>
      <w:r w:rsidRPr="004C5A3C">
        <w:rPr>
          <w:sz w:val="28"/>
          <w:szCs w:val="28"/>
        </w:rPr>
        <w:t xml:space="preserve"> </w:t>
      </w:r>
      <w:r>
        <w:rPr>
          <w:sz w:val="28"/>
          <w:szCs w:val="28"/>
        </w:rPr>
        <w:t>kriminālprocesā, skatot sūdzības par drošības līdzekļu piemērošanas pamatotību no procesa virzītāja puses. Tiks apskatīti arī citi aktuāli jautājumi: kā tiek ievērotas aizdomās turētās un apsūdzētās personas tiesības uz aizstāvību, vai patreizējā KPL ir nodrošināts pušu līdztiesības princips, kad tiek lemts ierosinājums par apcietinājuma piemērošanu.</w:t>
      </w:r>
    </w:p>
    <w:p w:rsidR="007A0BB2" w:rsidRPr="00235828" w:rsidRDefault="007A0BB2" w:rsidP="007A0BB2">
      <w:pPr>
        <w:ind w:firstLine="720"/>
        <w:jc w:val="both"/>
        <w:rPr>
          <w:sz w:val="28"/>
          <w:szCs w:val="28"/>
        </w:rPr>
      </w:pPr>
    </w:p>
    <w:p w:rsidR="007A0BB2" w:rsidRDefault="007A0BB2" w:rsidP="007A0BB2">
      <w:pPr>
        <w:ind w:firstLine="720"/>
        <w:jc w:val="both"/>
        <w:rPr>
          <w:sz w:val="28"/>
          <w:szCs w:val="28"/>
        </w:rPr>
      </w:pPr>
    </w:p>
    <w:p w:rsidR="007A0BB2" w:rsidRDefault="007A0BB2" w:rsidP="007A0BB2">
      <w:pPr>
        <w:ind w:firstLine="720"/>
        <w:jc w:val="both"/>
        <w:rPr>
          <w:sz w:val="28"/>
          <w:szCs w:val="28"/>
        </w:rPr>
      </w:pPr>
    </w:p>
    <w:p w:rsidR="007A0BB2" w:rsidRDefault="007A0BB2" w:rsidP="007A0BB2">
      <w:pPr>
        <w:ind w:firstLine="720"/>
        <w:jc w:val="both"/>
        <w:rPr>
          <w:sz w:val="28"/>
          <w:szCs w:val="28"/>
        </w:rPr>
      </w:pPr>
    </w:p>
    <w:p w:rsidR="007A0BB2" w:rsidRDefault="007A0BB2" w:rsidP="007A0BB2">
      <w:pPr>
        <w:ind w:firstLine="720"/>
        <w:jc w:val="both"/>
        <w:rPr>
          <w:sz w:val="28"/>
          <w:szCs w:val="28"/>
        </w:rPr>
      </w:pPr>
    </w:p>
    <w:p w:rsidR="007A0BB2" w:rsidRDefault="007A0BB2" w:rsidP="007A0BB2">
      <w:pPr>
        <w:ind w:firstLine="720"/>
        <w:jc w:val="both"/>
        <w:rPr>
          <w:sz w:val="28"/>
          <w:szCs w:val="28"/>
        </w:rPr>
      </w:pPr>
    </w:p>
    <w:p w:rsidR="007A0BB2" w:rsidRDefault="007A0BB2" w:rsidP="007A0BB2">
      <w:pPr>
        <w:ind w:firstLine="720"/>
        <w:jc w:val="both"/>
        <w:rPr>
          <w:sz w:val="28"/>
          <w:szCs w:val="28"/>
        </w:rPr>
      </w:pPr>
    </w:p>
    <w:p w:rsidR="007A0BB2" w:rsidRDefault="007A0BB2" w:rsidP="007A0BB2">
      <w:pPr>
        <w:jc w:val="both"/>
        <w:rPr>
          <w:sz w:val="28"/>
          <w:szCs w:val="28"/>
        </w:rPr>
      </w:pPr>
    </w:p>
    <w:p w:rsidR="007A0BB2" w:rsidRPr="009E11DA" w:rsidRDefault="007A0BB2" w:rsidP="007A0BB2">
      <w:pPr>
        <w:jc w:val="both"/>
        <w:rPr>
          <w:b/>
          <w:sz w:val="28"/>
          <w:szCs w:val="28"/>
        </w:rPr>
      </w:pPr>
      <w:r w:rsidRPr="00B31181">
        <w:rPr>
          <w:b/>
          <w:sz w:val="28"/>
          <w:szCs w:val="28"/>
        </w:rPr>
        <w:lastRenderedPageBreak/>
        <w:t>1</w:t>
      </w:r>
      <w:r w:rsidRPr="007C58A3">
        <w:rPr>
          <w:sz w:val="28"/>
          <w:szCs w:val="28"/>
        </w:rPr>
        <w:t xml:space="preserve">. </w:t>
      </w:r>
      <w:r w:rsidRPr="009E11DA">
        <w:rPr>
          <w:b/>
          <w:sz w:val="28"/>
          <w:szCs w:val="28"/>
        </w:rPr>
        <w:t>Drošības līdzekļu -apcietinājums, mājas arests un drošības nauda- vieta kriminālprocesuālo piespiedu līdzekļu sistēmā</w:t>
      </w:r>
    </w:p>
    <w:p w:rsidR="007A0BB2" w:rsidRDefault="007A0BB2" w:rsidP="007A0BB2">
      <w:pPr>
        <w:jc w:val="both"/>
        <w:rPr>
          <w:sz w:val="28"/>
          <w:szCs w:val="28"/>
        </w:rPr>
      </w:pPr>
    </w:p>
    <w:p w:rsidR="007A0BB2" w:rsidRDefault="007A0BB2" w:rsidP="007A0BB2">
      <w:pPr>
        <w:ind w:firstLine="720"/>
        <w:jc w:val="both"/>
        <w:rPr>
          <w:sz w:val="28"/>
          <w:szCs w:val="28"/>
        </w:rPr>
      </w:pPr>
      <w:r w:rsidRPr="009E11DA">
        <w:rPr>
          <w:sz w:val="28"/>
          <w:szCs w:val="28"/>
        </w:rPr>
        <w:t xml:space="preserve">Procesuālie piespiedu līdzekļi ir ietverti KPL 3.sadaļā.  Šīs sadaļas 13.nodaļā ir minēti piespiedu līdzekļu piemērošanas vispārīgie noteikumi. 14.nodaļā ir minēti ar brīvības atņemšanu nesaistītie drošības  līdzekļi – sūtījumu saņemšanas adreses paziņošana, aizliegums tuvoties noteiktai personai un vietai, noteiktas nodarbošanās aizliegums, aizliegums izbraukt no valsts, uzturēšanās noteiktā dzīves vietā, drošības nauda, personisks galvojums, nodošana policijas uzraudzībā. </w:t>
      </w:r>
    </w:p>
    <w:p w:rsidR="007A0BB2" w:rsidRPr="009E11DA" w:rsidRDefault="007A0BB2" w:rsidP="007A0BB2">
      <w:pPr>
        <w:ind w:firstLine="720"/>
        <w:jc w:val="both"/>
        <w:rPr>
          <w:sz w:val="28"/>
          <w:szCs w:val="28"/>
        </w:rPr>
      </w:pPr>
      <w:r w:rsidRPr="009E11DA">
        <w:rPr>
          <w:sz w:val="28"/>
          <w:szCs w:val="28"/>
        </w:rPr>
        <w:t>Savukārt 15.nodaļā ir uzskaitīti ar brīvības atņemšanu saistītie drošības līdzekļi – apcietinājums, apcietinājuma aizstāšana ar drošības naudu un mājas arests.</w:t>
      </w:r>
    </w:p>
    <w:p w:rsidR="007A0BB2" w:rsidRPr="009E11DA" w:rsidRDefault="007A0BB2" w:rsidP="007A0BB2">
      <w:pPr>
        <w:ind w:firstLine="720"/>
        <w:jc w:val="both"/>
        <w:rPr>
          <w:sz w:val="28"/>
          <w:szCs w:val="28"/>
        </w:rPr>
      </w:pPr>
      <w:r w:rsidRPr="009E11DA">
        <w:rPr>
          <w:sz w:val="28"/>
          <w:szCs w:val="28"/>
        </w:rPr>
        <w:t>Tā kā darbā tiks apskatīti tikai daži drošības līdzek</w:t>
      </w:r>
      <w:r>
        <w:rPr>
          <w:sz w:val="28"/>
          <w:szCs w:val="28"/>
        </w:rPr>
        <w:t>ļi, tad autors atspoguļos, kā KPL</w:t>
      </w:r>
      <w:r w:rsidRPr="009E11DA">
        <w:rPr>
          <w:sz w:val="28"/>
          <w:szCs w:val="28"/>
        </w:rPr>
        <w:t xml:space="preserve"> tiek definēti drošības līdzekļi -</w:t>
      </w:r>
      <w:r w:rsidRPr="009E11DA">
        <w:rPr>
          <w:i/>
          <w:sz w:val="28"/>
          <w:szCs w:val="28"/>
        </w:rPr>
        <w:t xml:space="preserve"> apcietinājums, mājas arests un drošības nauda</w:t>
      </w:r>
      <w:r w:rsidRPr="009E11DA">
        <w:rPr>
          <w:sz w:val="28"/>
          <w:szCs w:val="28"/>
        </w:rPr>
        <w:t xml:space="preserve">. </w:t>
      </w:r>
    </w:p>
    <w:p w:rsidR="007A0BB2" w:rsidRDefault="007A0BB2" w:rsidP="007A0BB2">
      <w:pPr>
        <w:jc w:val="both"/>
        <w:rPr>
          <w:sz w:val="28"/>
          <w:szCs w:val="28"/>
          <w:u w:val="single"/>
        </w:rPr>
      </w:pPr>
    </w:p>
    <w:p w:rsidR="007A0BB2" w:rsidRPr="009E11DA" w:rsidRDefault="007A0BB2" w:rsidP="007A0BB2">
      <w:pPr>
        <w:ind w:firstLine="720"/>
        <w:jc w:val="both"/>
        <w:rPr>
          <w:sz w:val="28"/>
          <w:szCs w:val="28"/>
        </w:rPr>
      </w:pPr>
      <w:r w:rsidRPr="00D62C6A">
        <w:rPr>
          <w:i/>
          <w:sz w:val="28"/>
          <w:szCs w:val="28"/>
        </w:rPr>
        <w:t>Apcietinājums</w:t>
      </w:r>
      <w:r w:rsidRPr="00D62C6A">
        <w:rPr>
          <w:sz w:val="28"/>
          <w:szCs w:val="28"/>
        </w:rPr>
        <w:t xml:space="preserve"> tiek definēts kā personas brīvības atņemšana, ko ar izmeklēšanas tiesneša lēmumu</w:t>
      </w:r>
      <w:r w:rsidRPr="009E11DA">
        <w:rPr>
          <w:sz w:val="28"/>
          <w:szCs w:val="28"/>
        </w:rPr>
        <w:t xml:space="preserve"> vai tiesas nolēmumu likumā paredzētos gadījumos var piemērot aizdomās turētajam vai apsūdzētajam pirms galīgā nolēmuma spēkā stāšanās konkrētajā kriminālprocesā.</w:t>
      </w:r>
    </w:p>
    <w:p w:rsidR="007A0BB2" w:rsidRPr="009E11DA" w:rsidRDefault="007A0BB2" w:rsidP="007A0BB2">
      <w:pPr>
        <w:jc w:val="both"/>
        <w:rPr>
          <w:sz w:val="28"/>
          <w:szCs w:val="28"/>
        </w:rPr>
      </w:pPr>
      <w:r w:rsidRPr="009E11DA">
        <w:rPr>
          <w:sz w:val="28"/>
          <w:szCs w:val="28"/>
        </w:rPr>
        <w:t xml:space="preserve">Apcietinājums kā pats bargākais, stingrākais </w:t>
      </w:r>
      <w:r>
        <w:rPr>
          <w:sz w:val="28"/>
          <w:szCs w:val="28"/>
        </w:rPr>
        <w:t>un cilvēktiesības</w:t>
      </w:r>
      <w:r w:rsidRPr="009E11DA">
        <w:rPr>
          <w:sz w:val="28"/>
          <w:szCs w:val="28"/>
        </w:rPr>
        <w:t xml:space="preserve"> ierobežojošākais drošības l</w:t>
      </w:r>
      <w:r>
        <w:rPr>
          <w:sz w:val="28"/>
          <w:szCs w:val="28"/>
        </w:rPr>
        <w:t>īdzeklis ir ietverts KPL 271.pantā.</w:t>
      </w:r>
    </w:p>
    <w:p w:rsidR="007A0BB2" w:rsidRDefault="007A0BB2" w:rsidP="007A0BB2">
      <w:pPr>
        <w:ind w:firstLine="720"/>
        <w:jc w:val="both"/>
        <w:rPr>
          <w:sz w:val="28"/>
          <w:szCs w:val="28"/>
        </w:rPr>
      </w:pPr>
      <w:r>
        <w:rPr>
          <w:sz w:val="28"/>
          <w:szCs w:val="28"/>
        </w:rPr>
        <w:t xml:space="preserve">Vēsturiski apcietinājums kā drošības līdzeklis bija iekļauts gan Latvijas 1926.gada un 1934.gada kriminālprocesa likumos, gan arī Latvijas PSR 1961.gada Kriminālprocesa kodeksā. Laikam ritot ir mainījusies apcietinājuma piemērošanas procesuālā kārtība, taču pēc būtības un satura apcietinājums nav mainījies, apcietinājuma mērķis vienmēr ir bijis ierobežot personas pārvietošanās brīvību, nolūkā liegt turpināt veikt jaunus noziegumus un iespaidot pirmstiesas procesu. </w:t>
      </w:r>
    </w:p>
    <w:p w:rsidR="007A0BB2" w:rsidRPr="009E11DA" w:rsidRDefault="007A0BB2" w:rsidP="007A0BB2">
      <w:pPr>
        <w:jc w:val="both"/>
        <w:rPr>
          <w:sz w:val="28"/>
          <w:szCs w:val="28"/>
        </w:rPr>
      </w:pPr>
      <w:r>
        <w:rPr>
          <w:sz w:val="28"/>
          <w:szCs w:val="28"/>
        </w:rPr>
        <w:t>Brīvības ierobežošana, kas veido apcietinājuma saturu, nav sods par izdarīto noziedzīgo nodarījumu, bet gan līdzeklis tiesvedības nodrošināšanai.</w:t>
      </w:r>
      <w:r>
        <w:rPr>
          <w:rStyle w:val="FootnoteReference"/>
          <w:sz w:val="28"/>
          <w:szCs w:val="28"/>
        </w:rPr>
        <w:footnoteReference w:id="6"/>
      </w:r>
    </w:p>
    <w:p w:rsidR="007A0BB2" w:rsidRDefault="007A0BB2" w:rsidP="007A0BB2">
      <w:pPr>
        <w:ind w:firstLine="720"/>
        <w:jc w:val="both"/>
        <w:rPr>
          <w:sz w:val="28"/>
          <w:szCs w:val="28"/>
          <w:u w:val="single"/>
        </w:rPr>
      </w:pPr>
    </w:p>
    <w:p w:rsidR="007A0BB2" w:rsidRPr="009E11DA" w:rsidRDefault="007A0BB2" w:rsidP="007A0BB2">
      <w:pPr>
        <w:ind w:firstLine="720"/>
        <w:jc w:val="both"/>
        <w:rPr>
          <w:sz w:val="28"/>
          <w:szCs w:val="28"/>
        </w:rPr>
      </w:pPr>
      <w:r w:rsidRPr="00D62C6A">
        <w:rPr>
          <w:i/>
          <w:sz w:val="28"/>
          <w:szCs w:val="28"/>
        </w:rPr>
        <w:t>Mājas arests</w:t>
      </w:r>
      <w:r w:rsidRPr="00D62C6A">
        <w:rPr>
          <w:sz w:val="28"/>
          <w:szCs w:val="28"/>
        </w:rPr>
        <w:t xml:space="preserve"> tiek</w:t>
      </w:r>
      <w:r w:rsidRPr="009E11DA">
        <w:rPr>
          <w:sz w:val="28"/>
          <w:szCs w:val="28"/>
        </w:rPr>
        <w:t xml:space="preserve"> definēts kā personas brīvības atņemšana, ko ar izmeklēšanas tiesneša lēmumu vai tiesas nolēmumu var piemērot aizdomās turētajam vai apsūdzētajam pirms galīgā nolēmuma spēkā stāšanās konkrētajā kriminālprocesā, ja pastāv pamats apcietinājuma piemērošanai, taču personu īpašu apstākļu dēļ nav vēlams vai nav iespējams turēt apcietinājumā.</w:t>
      </w:r>
      <w:r w:rsidRPr="00CC1F62">
        <w:rPr>
          <w:sz w:val="28"/>
          <w:szCs w:val="28"/>
        </w:rPr>
        <w:t xml:space="preserve"> </w:t>
      </w:r>
      <w:r w:rsidRPr="009E11DA">
        <w:rPr>
          <w:sz w:val="28"/>
          <w:szCs w:val="28"/>
        </w:rPr>
        <w:t>Procesuālais piespiedu līdzeklis mājas arest</w:t>
      </w:r>
      <w:r>
        <w:rPr>
          <w:sz w:val="28"/>
          <w:szCs w:val="28"/>
        </w:rPr>
        <w:t>s tiek reglamentēts  KPL 282.pantā.</w:t>
      </w:r>
    </w:p>
    <w:p w:rsidR="007A0BB2" w:rsidRPr="00FF0A17" w:rsidRDefault="007A0BB2" w:rsidP="007A0BB2">
      <w:pPr>
        <w:jc w:val="both"/>
      </w:pPr>
      <w:r>
        <w:rPr>
          <w:sz w:val="28"/>
          <w:szCs w:val="28"/>
        </w:rPr>
        <w:lastRenderedPageBreak/>
        <w:t>Mājas arests kā drošības līdzeklis, lai liegtu iespēju apsūdzētajam izvairīties no izmeklēšanas, bija Latvijas 1926.gada un 1934.gada kriminālprocesa likumos. Tas atkal tika iekļauts Latvijas Kriminālprocesa kodeksā 1994.gada 22.jūnijā, saskaņā ar  likumu ‘’Grozījumi Latvijas kriminālprocesa kodeksā’’, kas stājās spēkā 1994.gada 1.oktobrī.</w:t>
      </w:r>
    </w:p>
    <w:p w:rsidR="007A0BB2" w:rsidRDefault="007A0BB2" w:rsidP="007A0BB2">
      <w:pPr>
        <w:pStyle w:val="naisf"/>
        <w:spacing w:before="0" w:beforeAutospacing="0" w:after="0" w:afterAutospacing="0"/>
        <w:ind w:firstLine="720"/>
        <w:jc w:val="both"/>
        <w:rPr>
          <w:sz w:val="28"/>
          <w:szCs w:val="28"/>
          <w:u w:val="single"/>
          <w:lang w:val="lv-LV"/>
        </w:rPr>
      </w:pPr>
    </w:p>
    <w:p w:rsidR="007A0BB2" w:rsidRPr="00CC1F62" w:rsidRDefault="007A0BB2" w:rsidP="007A0BB2">
      <w:pPr>
        <w:pStyle w:val="naisf"/>
        <w:spacing w:before="0" w:beforeAutospacing="0" w:after="0" w:afterAutospacing="0"/>
        <w:ind w:firstLine="720"/>
        <w:jc w:val="both"/>
        <w:rPr>
          <w:sz w:val="28"/>
          <w:szCs w:val="28"/>
          <w:lang w:val="lv-LV"/>
        </w:rPr>
      </w:pPr>
      <w:r w:rsidRPr="00D62C6A">
        <w:rPr>
          <w:i/>
          <w:sz w:val="28"/>
          <w:szCs w:val="28"/>
          <w:lang w:val="lv-LV"/>
        </w:rPr>
        <w:t>Drošības nauda</w:t>
      </w:r>
      <w:r w:rsidRPr="00D62C6A">
        <w:rPr>
          <w:sz w:val="28"/>
          <w:szCs w:val="28"/>
          <w:lang w:val="lv-LV"/>
        </w:rPr>
        <w:t xml:space="preserve"> i</w:t>
      </w:r>
      <w:r w:rsidRPr="00EB2533">
        <w:rPr>
          <w:sz w:val="28"/>
          <w:szCs w:val="28"/>
          <w:lang w:val="lv-LV"/>
        </w:rPr>
        <w:t>r ar procesa virzītāja lēmumu noteikta naudas summa, kas nodota procesa virzītāja noteiktās kredīt</w:t>
      </w:r>
      <w:r w:rsidRPr="00EB2533">
        <w:rPr>
          <w:sz w:val="28"/>
          <w:szCs w:val="28"/>
          <w:lang w:val="lv-LV"/>
        </w:rPr>
        <w:softHyphen/>
        <w:t>iestādes depozītā (glabāšanā), lai nodrošinātu aizdomās turētā vai apsūdzētā ierašanos pēc procesa virzītāja uzaicinājuma un citu likumā noteikto procesuālo pienākumu izpildi.</w:t>
      </w:r>
      <w:r>
        <w:rPr>
          <w:sz w:val="28"/>
          <w:szCs w:val="28"/>
          <w:lang w:val="lv-LV"/>
        </w:rPr>
        <w:t xml:space="preserve"> </w:t>
      </w:r>
      <w:r w:rsidRPr="00CC1F62">
        <w:rPr>
          <w:sz w:val="28"/>
          <w:szCs w:val="28"/>
          <w:lang w:val="lv-LV"/>
        </w:rPr>
        <w:t xml:space="preserve">Drošības nauda </w:t>
      </w:r>
      <w:r>
        <w:rPr>
          <w:sz w:val="28"/>
          <w:szCs w:val="28"/>
          <w:lang w:val="lv-LV"/>
        </w:rPr>
        <w:t>kā viens no drošības līdzekļiem</w:t>
      </w:r>
      <w:r>
        <w:rPr>
          <w:sz w:val="28"/>
          <w:szCs w:val="28"/>
        </w:rPr>
        <w:t xml:space="preserve"> ir ietverts KPL 257.pantā.</w:t>
      </w:r>
    </w:p>
    <w:p w:rsidR="007A0BB2" w:rsidRPr="00FF0A17" w:rsidRDefault="007A0BB2" w:rsidP="007A0BB2">
      <w:pPr>
        <w:ind w:firstLine="720"/>
        <w:jc w:val="both"/>
      </w:pPr>
      <w:r>
        <w:rPr>
          <w:sz w:val="28"/>
          <w:szCs w:val="28"/>
        </w:rPr>
        <w:t>Vēsturiski drošības nauda kā drošības līdzeklis bija spēkā</w:t>
      </w:r>
      <w:r w:rsidRPr="00EF582C">
        <w:rPr>
          <w:sz w:val="28"/>
          <w:szCs w:val="28"/>
        </w:rPr>
        <w:t xml:space="preserve"> </w:t>
      </w:r>
      <w:r>
        <w:rPr>
          <w:sz w:val="28"/>
          <w:szCs w:val="28"/>
        </w:rPr>
        <w:t>Latvijas kriminālprocesa kodeksā tikai no 1994.gada 1.oktobra, pamatojoties uz   likumu ‘’Grozījumi Latvijas kriminālprocesa kodeksā’’.</w:t>
      </w:r>
    </w:p>
    <w:p w:rsidR="007A0BB2" w:rsidRDefault="007A0BB2" w:rsidP="007A0BB2">
      <w:pPr>
        <w:ind w:firstLine="720"/>
        <w:jc w:val="both"/>
        <w:rPr>
          <w:sz w:val="28"/>
          <w:szCs w:val="28"/>
        </w:rPr>
      </w:pPr>
      <w:r>
        <w:rPr>
          <w:sz w:val="28"/>
          <w:szCs w:val="28"/>
        </w:rPr>
        <w:t>Latvijas 1926.gada un 1934.gada kriminālprocesa likumos drošības nauda kā drošības līdzeklis nepastāvēja, taču bija paredzēts drošības līdzeklis ķīla, kuru varēja dot gan apsūdzētais, gan cita persona. Atšķirībā no drošības naudas, ko tagad piemēro procesa virzītājs, ‘’ķīla tika piemērota pēc izmeklēšanas tiesneša ieskata atbilstoši tā soda bargumam, kas draudēja apsūdzētajam un ķīlas devēja turībai’’.</w:t>
      </w:r>
      <w:r>
        <w:rPr>
          <w:rStyle w:val="FootnoteReference"/>
          <w:sz w:val="28"/>
          <w:szCs w:val="28"/>
        </w:rPr>
        <w:footnoteReference w:id="7"/>
      </w:r>
    </w:p>
    <w:p w:rsidR="007A0BB2" w:rsidRDefault="007A0BB2" w:rsidP="007A0BB2">
      <w:pPr>
        <w:ind w:firstLine="720"/>
        <w:jc w:val="both"/>
        <w:rPr>
          <w:sz w:val="28"/>
          <w:szCs w:val="28"/>
        </w:rPr>
      </w:pPr>
      <w:r>
        <w:rPr>
          <w:sz w:val="28"/>
          <w:szCs w:val="28"/>
        </w:rPr>
        <w:t>Kā redzams no drošības līdzekļu definīciju skaidrojuma, tad drošības līdzekļu piemērošanas subjekti kriminālprocesā ir dažādi, tas ir saistīts ar to, ka kriminālprocesā iesaistītajām personām tiesības un pienākumi ir strikti nodalīti. Tikai izmeklēšanas tiesneša kompetencē ir lemt par drošības līdzekļu: apcietinājums un mājas arests piemērošanu, bet</w:t>
      </w:r>
      <w:r w:rsidRPr="004E7105">
        <w:rPr>
          <w:sz w:val="28"/>
          <w:szCs w:val="28"/>
        </w:rPr>
        <w:t xml:space="preserve"> </w:t>
      </w:r>
      <w:r w:rsidRPr="00EB2533">
        <w:rPr>
          <w:sz w:val="28"/>
          <w:szCs w:val="28"/>
        </w:rPr>
        <w:t>procesa virzītāja</w:t>
      </w:r>
      <w:r>
        <w:rPr>
          <w:sz w:val="28"/>
          <w:szCs w:val="28"/>
        </w:rPr>
        <w:t xml:space="preserve"> kompetencē ir lemt jautājumu par drošības naudas piemērošanu. </w:t>
      </w:r>
    </w:p>
    <w:p w:rsidR="007A0BB2" w:rsidRDefault="007A0BB2" w:rsidP="007A0BB2">
      <w:pPr>
        <w:ind w:firstLine="720"/>
        <w:jc w:val="both"/>
        <w:rPr>
          <w:b/>
          <w:sz w:val="28"/>
          <w:szCs w:val="28"/>
        </w:rPr>
      </w:pPr>
      <w:r>
        <w:rPr>
          <w:sz w:val="28"/>
          <w:szCs w:val="28"/>
        </w:rPr>
        <w:t xml:space="preserve">Kriminālprocesuālais institūts- </w:t>
      </w:r>
      <w:r w:rsidRPr="009E11DA">
        <w:rPr>
          <w:sz w:val="28"/>
          <w:szCs w:val="28"/>
        </w:rPr>
        <w:t>izmeklēšanas tiesne</w:t>
      </w:r>
      <w:r>
        <w:rPr>
          <w:sz w:val="28"/>
          <w:szCs w:val="28"/>
        </w:rPr>
        <w:t>sis ir izveidots ar mērķi kontrolēt un uzraudzīt cilvēktiesību ievērošanu pirmstiesas procesā.</w:t>
      </w:r>
    </w:p>
    <w:p w:rsidR="007A0BB2" w:rsidRPr="000A601B" w:rsidRDefault="007A0BB2" w:rsidP="007A0BB2">
      <w:pPr>
        <w:ind w:firstLine="720"/>
        <w:jc w:val="both"/>
        <w:rPr>
          <w:sz w:val="28"/>
          <w:szCs w:val="28"/>
        </w:rPr>
      </w:pPr>
      <w:r w:rsidRPr="000A601B">
        <w:rPr>
          <w:sz w:val="28"/>
          <w:szCs w:val="28"/>
        </w:rPr>
        <w:t>Jēdziens ‘’</w:t>
      </w:r>
      <w:r>
        <w:rPr>
          <w:sz w:val="28"/>
          <w:szCs w:val="28"/>
        </w:rPr>
        <w:t>izmeklēšanas tiesnesis’’ Latvijā nav jauns. Arī pirmskara Latvijā bija šādas amatpersonas, tikai viņu uzdevums bija izdarīt iepriekšējo izmeklēšanu apgabaltiesai piekritīgās krimināllietās noteiktā apriņķa vai pilsētas iecirknī.</w:t>
      </w:r>
      <w:r>
        <w:rPr>
          <w:rStyle w:val="FootnoteReference"/>
          <w:sz w:val="28"/>
          <w:szCs w:val="28"/>
        </w:rPr>
        <w:footnoteReference w:id="8"/>
      </w:r>
      <w:r>
        <w:rPr>
          <w:sz w:val="28"/>
          <w:szCs w:val="28"/>
        </w:rPr>
        <w:t xml:space="preserve"> Šī institūta izcelsme nav meklējama Latvijā. Eiropas valstīs izmeklēšanas tiesneši klasiskajā izpratnē ir zināmi jau sen. ‘’Mūsu tiesu sistēmas izcelsmes valstī Francijā 2002.gadā paralēli jau sen zināmajiem izmeklēšanas tiesnešiem izveidoja arī tādu tiesnešu amatus, kas uzrauga cilvēktiesības pirmstiesas izmeklēšanā.’’</w:t>
      </w:r>
      <w:r>
        <w:rPr>
          <w:rStyle w:val="FootnoteReference"/>
          <w:sz w:val="28"/>
          <w:szCs w:val="28"/>
        </w:rPr>
        <w:footnoteReference w:id="9"/>
      </w:r>
    </w:p>
    <w:p w:rsidR="007A0BB2" w:rsidRDefault="007A0BB2" w:rsidP="007A0BB2">
      <w:pPr>
        <w:ind w:firstLine="720"/>
        <w:jc w:val="both"/>
        <w:rPr>
          <w:sz w:val="28"/>
          <w:szCs w:val="28"/>
        </w:rPr>
      </w:pPr>
      <w:r>
        <w:rPr>
          <w:sz w:val="28"/>
          <w:szCs w:val="28"/>
        </w:rPr>
        <w:lastRenderedPageBreak/>
        <w:t xml:space="preserve">KPL izmeklēšanas tiesnesis tiek definēts kā tiesnesis, kuram rajona vai pilsētas tiesas priekšsēdētājs uz noteiktu laiku likumā noteiktajos gadījumos un kārtībā uzdevis kontrolēt cilvēktiesību ievērošanu kriminālprocesā. </w:t>
      </w:r>
    </w:p>
    <w:p w:rsidR="007A0BB2" w:rsidRPr="000A601B" w:rsidRDefault="007A0BB2" w:rsidP="007A0BB2">
      <w:pPr>
        <w:ind w:firstLine="720"/>
        <w:jc w:val="both"/>
        <w:rPr>
          <w:sz w:val="28"/>
          <w:szCs w:val="28"/>
        </w:rPr>
      </w:pPr>
      <w:r>
        <w:rPr>
          <w:sz w:val="28"/>
          <w:szCs w:val="28"/>
        </w:rPr>
        <w:t>Autors uzskata, kā šī institūta izveide praksē sevi ir pilnībā attaisnojusi, tā kā izmeklēšanas tiesnesim nav deleģētas tiesības izmeklēt krimināllietas, tad tas var būt objektīvs un bez jebkādas ieinteresētības lemt viņa kompetencē esošos jautājumus. Bez tam, izmeklēšanas tiesnesis, kas ir skatījis drošības līdzekļus –apcietinājums un mājas arests piemērošanu, nedrīkst tiesā skatīt šīs lietas pēc būtības.</w:t>
      </w:r>
    </w:p>
    <w:p w:rsidR="007A0BB2" w:rsidRDefault="007A0BB2" w:rsidP="007A0BB2">
      <w:pPr>
        <w:jc w:val="both"/>
        <w:rPr>
          <w:b/>
          <w:sz w:val="28"/>
          <w:szCs w:val="28"/>
        </w:rPr>
      </w:pPr>
    </w:p>
    <w:p w:rsidR="007A0BB2" w:rsidRPr="00EB2533" w:rsidRDefault="007A0BB2" w:rsidP="007A0BB2">
      <w:pPr>
        <w:jc w:val="both"/>
        <w:rPr>
          <w:b/>
          <w:sz w:val="28"/>
          <w:szCs w:val="28"/>
        </w:rPr>
      </w:pPr>
      <w:r w:rsidRPr="00EB2533">
        <w:rPr>
          <w:b/>
          <w:sz w:val="28"/>
          <w:szCs w:val="28"/>
        </w:rPr>
        <w:t xml:space="preserve">2. </w:t>
      </w:r>
      <w:r>
        <w:rPr>
          <w:b/>
          <w:sz w:val="28"/>
          <w:szCs w:val="28"/>
        </w:rPr>
        <w:t>Drošības līdzekļu</w:t>
      </w:r>
      <w:r w:rsidRPr="00EB2533">
        <w:rPr>
          <w:b/>
          <w:sz w:val="28"/>
          <w:szCs w:val="28"/>
        </w:rPr>
        <w:t xml:space="preserve"> piemērošanas </w:t>
      </w:r>
      <w:r>
        <w:rPr>
          <w:b/>
          <w:sz w:val="28"/>
          <w:szCs w:val="28"/>
        </w:rPr>
        <w:t>vispārējais</w:t>
      </w:r>
      <w:r w:rsidRPr="00EB2533">
        <w:rPr>
          <w:b/>
          <w:sz w:val="28"/>
          <w:szCs w:val="28"/>
        </w:rPr>
        <w:t xml:space="preserve"> pamats</w:t>
      </w:r>
    </w:p>
    <w:p w:rsidR="007A0BB2" w:rsidRDefault="007A0BB2" w:rsidP="007A0BB2">
      <w:pPr>
        <w:jc w:val="both"/>
        <w:rPr>
          <w:sz w:val="28"/>
          <w:szCs w:val="28"/>
        </w:rPr>
      </w:pPr>
    </w:p>
    <w:p w:rsidR="007A0BB2" w:rsidRPr="001B2197" w:rsidRDefault="007A0BB2" w:rsidP="007A0BB2">
      <w:pPr>
        <w:ind w:firstLine="720"/>
        <w:jc w:val="both"/>
        <w:rPr>
          <w:sz w:val="28"/>
          <w:szCs w:val="28"/>
        </w:rPr>
      </w:pPr>
      <w:r>
        <w:rPr>
          <w:sz w:val="28"/>
          <w:szCs w:val="28"/>
        </w:rPr>
        <w:t>D</w:t>
      </w:r>
      <w:r w:rsidRPr="001B2197">
        <w:rPr>
          <w:sz w:val="28"/>
          <w:szCs w:val="28"/>
        </w:rPr>
        <w:t xml:space="preserve">rošības līdzekli kā procesuālo piespiedu līdzekli piemēro aizdomās turētajam vai apsūdzētajam, </w:t>
      </w:r>
      <w:r w:rsidRPr="009918CC">
        <w:rPr>
          <w:i/>
          <w:sz w:val="28"/>
          <w:szCs w:val="28"/>
        </w:rPr>
        <w:t>ja ir pamats uzskatīt,</w:t>
      </w:r>
      <w:r w:rsidRPr="001B2197">
        <w:rPr>
          <w:sz w:val="28"/>
          <w:szCs w:val="28"/>
        </w:rPr>
        <w:t xml:space="preserve"> ka attiecīgā persona turpinās noziedzīgās darbības, izvairīs</w:t>
      </w:r>
      <w:r>
        <w:rPr>
          <w:sz w:val="28"/>
          <w:szCs w:val="28"/>
        </w:rPr>
        <w:t>ies no izmeklēšanas un tiesas. Tas ir paredzēts KPL 241.pantā. Šī ir vispārējā norma, kas ir attiecināma uz visiem iespējamiem drošības līdzekļiem, tajā skaitā arī uz darbā apskatāmajiem.</w:t>
      </w:r>
    </w:p>
    <w:p w:rsidR="007A0BB2" w:rsidRPr="001B2197" w:rsidRDefault="007A0BB2" w:rsidP="007A0BB2">
      <w:pPr>
        <w:ind w:firstLine="720"/>
        <w:jc w:val="both"/>
        <w:rPr>
          <w:sz w:val="28"/>
          <w:szCs w:val="28"/>
        </w:rPr>
      </w:pPr>
      <w:r w:rsidRPr="001B2197">
        <w:rPr>
          <w:sz w:val="28"/>
          <w:szCs w:val="28"/>
        </w:rPr>
        <w:t xml:space="preserve">Salīdzināšanai </w:t>
      </w:r>
      <w:r w:rsidRPr="0065309C">
        <w:rPr>
          <w:sz w:val="28"/>
          <w:szCs w:val="28"/>
        </w:rPr>
        <w:t>Lietuvas KPK</w:t>
      </w:r>
      <w:r w:rsidRPr="001B2197">
        <w:rPr>
          <w:bCs/>
          <w:color w:val="000000"/>
          <w:sz w:val="28"/>
          <w:szCs w:val="28"/>
        </w:rPr>
        <w:t xml:space="preserve"> 121. panta </w:t>
      </w:r>
      <w:r>
        <w:rPr>
          <w:bCs/>
          <w:color w:val="000000"/>
          <w:sz w:val="28"/>
          <w:szCs w:val="28"/>
        </w:rPr>
        <w:t>‘’</w:t>
      </w:r>
      <w:r w:rsidRPr="001B2197">
        <w:rPr>
          <w:bCs/>
          <w:color w:val="000000"/>
          <w:sz w:val="28"/>
          <w:szCs w:val="28"/>
        </w:rPr>
        <w:t>Drošības līdzekļu piemērošanas vispārīgie noteikumi</w:t>
      </w:r>
      <w:r>
        <w:rPr>
          <w:bCs/>
          <w:color w:val="000000"/>
          <w:sz w:val="28"/>
          <w:szCs w:val="28"/>
        </w:rPr>
        <w:t>’’</w:t>
      </w:r>
      <w:r w:rsidRPr="001B2197">
        <w:rPr>
          <w:bCs/>
          <w:color w:val="000000"/>
          <w:sz w:val="28"/>
          <w:szCs w:val="28"/>
        </w:rPr>
        <w:t xml:space="preserve"> 2.daļā ir noteikts, ka ‘’</w:t>
      </w:r>
      <w:r w:rsidRPr="001B2197">
        <w:rPr>
          <w:sz w:val="28"/>
          <w:szCs w:val="28"/>
        </w:rPr>
        <w:t xml:space="preserve">Drošības līdzekļi var tikt piemēroti tikai tajā gadījumā, </w:t>
      </w:r>
      <w:r w:rsidRPr="000C4FCF">
        <w:rPr>
          <w:sz w:val="28"/>
          <w:szCs w:val="28"/>
        </w:rPr>
        <w:t>kad ir pietiekami daudz datu, kas ļauj uzskatīt,</w:t>
      </w:r>
      <w:r>
        <w:rPr>
          <w:sz w:val="28"/>
          <w:szCs w:val="28"/>
        </w:rPr>
        <w:t xml:space="preserve"> ka aizdomās turētais</w:t>
      </w:r>
      <w:r w:rsidRPr="001B2197">
        <w:rPr>
          <w:sz w:val="28"/>
          <w:szCs w:val="28"/>
        </w:rPr>
        <w:t xml:space="preserve"> ir izdarījis noziedzīgu darbību’’.</w:t>
      </w:r>
    </w:p>
    <w:p w:rsidR="007A0BB2" w:rsidRDefault="007A0BB2" w:rsidP="007A0BB2">
      <w:pPr>
        <w:ind w:firstLine="720"/>
        <w:jc w:val="both"/>
        <w:rPr>
          <w:sz w:val="28"/>
          <w:szCs w:val="28"/>
        </w:rPr>
      </w:pPr>
      <w:r w:rsidRPr="001B2197">
        <w:rPr>
          <w:sz w:val="28"/>
          <w:szCs w:val="28"/>
        </w:rPr>
        <w:t xml:space="preserve">Savukārt </w:t>
      </w:r>
      <w:r w:rsidRPr="00B65E5E">
        <w:rPr>
          <w:bCs/>
          <w:color w:val="000000"/>
          <w:sz w:val="28"/>
          <w:szCs w:val="28"/>
        </w:rPr>
        <w:t>Igaunijas KPK</w:t>
      </w:r>
      <w:r>
        <w:rPr>
          <w:bCs/>
          <w:color w:val="000000"/>
          <w:sz w:val="28"/>
          <w:szCs w:val="28"/>
        </w:rPr>
        <w:t xml:space="preserve"> </w:t>
      </w:r>
      <w:r>
        <w:rPr>
          <w:sz w:val="28"/>
          <w:szCs w:val="28"/>
        </w:rPr>
        <w:t>127. pantā ir noteikts, ka  ‘’D</w:t>
      </w:r>
      <w:r w:rsidRPr="00E858F8">
        <w:rPr>
          <w:sz w:val="28"/>
          <w:szCs w:val="28"/>
        </w:rPr>
        <w:t>rošības līdzekļa izvēlē ņem vērā iespējamo izvairīšanos no tiesvedības krimināllietā vai tiesas sprieduma izpildes, nozieguma izdarīšanas vai pierādījumu iznīcināšanas, sagrozīšanas vai viltošanas ilgumu, soda bardzību, aizdomās turētā, apsūdzētā vai notiesātā personību, veselības stāvokli, ģimenes stāvokli un citus būtiskus apstākļus, kas var ietekmēt drošības līdzekļa piemērošanu</w:t>
      </w:r>
      <w:r>
        <w:rPr>
          <w:sz w:val="28"/>
          <w:szCs w:val="28"/>
        </w:rPr>
        <w:t>.’’</w:t>
      </w:r>
    </w:p>
    <w:p w:rsidR="007A0BB2" w:rsidRPr="00E858F8" w:rsidRDefault="007A0BB2" w:rsidP="007A0BB2">
      <w:pPr>
        <w:ind w:firstLine="720"/>
        <w:jc w:val="both"/>
        <w:rPr>
          <w:sz w:val="28"/>
          <w:szCs w:val="28"/>
        </w:rPr>
      </w:pPr>
      <w:r>
        <w:rPr>
          <w:sz w:val="28"/>
          <w:szCs w:val="28"/>
        </w:rPr>
        <w:t xml:space="preserve">Krievijas Federācijas (turpmāk – </w:t>
      </w:r>
      <w:r w:rsidRPr="00E858F8">
        <w:rPr>
          <w:sz w:val="28"/>
          <w:szCs w:val="28"/>
        </w:rPr>
        <w:t>KF</w:t>
      </w:r>
      <w:r>
        <w:rPr>
          <w:sz w:val="28"/>
          <w:szCs w:val="28"/>
        </w:rPr>
        <w:t>),</w:t>
      </w:r>
      <w:r w:rsidRPr="00E858F8">
        <w:rPr>
          <w:sz w:val="28"/>
          <w:szCs w:val="28"/>
        </w:rPr>
        <w:t xml:space="preserve"> KPK 97.p. </w:t>
      </w:r>
      <w:r>
        <w:rPr>
          <w:sz w:val="28"/>
          <w:szCs w:val="28"/>
        </w:rPr>
        <w:t>ir noteikts,</w:t>
      </w:r>
      <w:r w:rsidRPr="00E858F8">
        <w:rPr>
          <w:sz w:val="28"/>
          <w:szCs w:val="28"/>
        </w:rPr>
        <w:t xml:space="preserve"> ka izmeklētājam, prokuroram un tiesai ir tiesības piemērot kādu no drošības līdzekļiem, kas paredzēti kodeksā, </w:t>
      </w:r>
      <w:r w:rsidRPr="009918CC">
        <w:rPr>
          <w:i/>
          <w:sz w:val="28"/>
          <w:szCs w:val="28"/>
        </w:rPr>
        <w:t>ja ir pietiekams pamats uzskatīt</w:t>
      </w:r>
      <w:r w:rsidRPr="009918CC">
        <w:rPr>
          <w:sz w:val="28"/>
          <w:szCs w:val="28"/>
        </w:rPr>
        <w:t>,</w:t>
      </w:r>
      <w:r w:rsidRPr="00E858F8">
        <w:rPr>
          <w:sz w:val="28"/>
          <w:szCs w:val="28"/>
        </w:rPr>
        <w:t xml:space="preserve"> ka aizdomās turētais vai apsūdzētais: slēpsies  no izmeklēšanas, var turpināt veikt noziegumus, var draudēt lieciniekiem vai citām personām, kas ir iesaistītas procesā, v</w:t>
      </w:r>
      <w:r>
        <w:rPr>
          <w:sz w:val="28"/>
          <w:szCs w:val="28"/>
        </w:rPr>
        <w:t>ar iznīcināt pierādījumus. ‘’</w:t>
      </w:r>
      <w:r w:rsidRPr="00E858F8">
        <w:rPr>
          <w:sz w:val="28"/>
          <w:szCs w:val="28"/>
        </w:rPr>
        <w:t>Ar pietiekamu pamatu jāsaprot procesā esošie pierādījumi, kas pamato izteikto iespējamību</w:t>
      </w:r>
      <w:r>
        <w:rPr>
          <w:sz w:val="28"/>
          <w:szCs w:val="28"/>
        </w:rPr>
        <w:t>.</w:t>
      </w:r>
      <w:r w:rsidRPr="00E858F8">
        <w:rPr>
          <w:sz w:val="28"/>
          <w:szCs w:val="28"/>
        </w:rPr>
        <w:t>’’</w:t>
      </w:r>
      <w:r w:rsidRPr="00E858F8">
        <w:rPr>
          <w:rStyle w:val="FootnoteReference"/>
          <w:sz w:val="28"/>
          <w:szCs w:val="28"/>
        </w:rPr>
        <w:footnoteReference w:id="10"/>
      </w:r>
    </w:p>
    <w:p w:rsidR="007A0BB2" w:rsidRDefault="007A0BB2" w:rsidP="007A0BB2">
      <w:pPr>
        <w:ind w:firstLine="720"/>
        <w:jc w:val="both"/>
        <w:rPr>
          <w:sz w:val="28"/>
          <w:szCs w:val="28"/>
        </w:rPr>
      </w:pPr>
      <w:r>
        <w:rPr>
          <w:sz w:val="28"/>
          <w:szCs w:val="28"/>
        </w:rPr>
        <w:t xml:space="preserve">Autors </w:t>
      </w:r>
      <w:r w:rsidRPr="001B2197">
        <w:rPr>
          <w:sz w:val="28"/>
          <w:szCs w:val="28"/>
        </w:rPr>
        <w:t xml:space="preserve">praksē </w:t>
      </w:r>
      <w:r>
        <w:rPr>
          <w:sz w:val="28"/>
          <w:szCs w:val="28"/>
        </w:rPr>
        <w:t xml:space="preserve">ir konstatējis, ka </w:t>
      </w:r>
      <w:bookmarkStart w:id="0" w:name="OLE_LINK1"/>
      <w:bookmarkStart w:id="1" w:name="OLE_LINK2"/>
      <w:r>
        <w:rPr>
          <w:sz w:val="28"/>
          <w:szCs w:val="28"/>
        </w:rPr>
        <w:t>KPL 241.</w:t>
      </w:r>
      <w:r w:rsidRPr="001B2197">
        <w:rPr>
          <w:sz w:val="28"/>
          <w:szCs w:val="28"/>
        </w:rPr>
        <w:t xml:space="preserve">panta </w:t>
      </w:r>
      <w:r>
        <w:rPr>
          <w:sz w:val="28"/>
          <w:szCs w:val="28"/>
        </w:rPr>
        <w:t xml:space="preserve">redakcijas </w:t>
      </w:r>
      <w:r w:rsidRPr="001B2197">
        <w:rPr>
          <w:sz w:val="28"/>
          <w:szCs w:val="28"/>
        </w:rPr>
        <w:t xml:space="preserve">daļa </w:t>
      </w:r>
      <w:r w:rsidRPr="00706A8E">
        <w:rPr>
          <w:sz w:val="28"/>
          <w:szCs w:val="28"/>
        </w:rPr>
        <w:t>‘’ja ir pamats uzskatīt’’</w:t>
      </w:r>
      <w:bookmarkEnd w:id="0"/>
      <w:bookmarkEnd w:id="1"/>
      <w:r>
        <w:rPr>
          <w:sz w:val="28"/>
          <w:szCs w:val="28"/>
        </w:rPr>
        <w:t xml:space="preserve"> </w:t>
      </w:r>
      <w:r w:rsidRPr="001B2197">
        <w:rPr>
          <w:sz w:val="28"/>
          <w:szCs w:val="28"/>
        </w:rPr>
        <w:t>tiek</w:t>
      </w:r>
      <w:r>
        <w:rPr>
          <w:sz w:val="28"/>
          <w:szCs w:val="28"/>
        </w:rPr>
        <w:t xml:space="preserve"> kļūdaini izprasta no valodas izteiksmes viedokļa. </w:t>
      </w:r>
      <w:r>
        <w:rPr>
          <w:sz w:val="28"/>
          <w:szCs w:val="28"/>
        </w:rPr>
        <w:lastRenderedPageBreak/>
        <w:t>Šādu secinājumu autors izsaka, pamatojoties uz divu procesa virzītāja ierosinājumu par apcietinājuma piemērošanu un tiesas lēmumu analīzes. Izmantojot gramatisko jeb filoloģisko metodi, autors izanalizēs konkrētās normas</w:t>
      </w:r>
      <w:r w:rsidRPr="001B2197">
        <w:rPr>
          <w:sz w:val="28"/>
          <w:szCs w:val="28"/>
        </w:rPr>
        <w:t xml:space="preserve"> </w:t>
      </w:r>
      <w:r>
        <w:rPr>
          <w:sz w:val="28"/>
          <w:szCs w:val="28"/>
        </w:rPr>
        <w:t xml:space="preserve">vārda ‘’pamats’’ nozīmi. Vārdnīcā vārdam ‘’pamats’’ ir doti vairāki skaidrojumi, taču pēc satura vistuvāk atbilst skaidrojums- iemesls, iegansts (attaisnojums, izskaidrojums kam). </w:t>
      </w:r>
      <w:r>
        <w:rPr>
          <w:rStyle w:val="FootnoteReference"/>
          <w:sz w:val="28"/>
          <w:szCs w:val="28"/>
        </w:rPr>
        <w:footnoteReference w:id="11"/>
      </w:r>
      <w:r>
        <w:rPr>
          <w:sz w:val="28"/>
          <w:szCs w:val="28"/>
        </w:rPr>
        <w:t xml:space="preserve"> Kā redzams skaidrojums neatklāj precīzi vārda izmantošanas saturu.</w:t>
      </w:r>
    </w:p>
    <w:p w:rsidR="007A0BB2" w:rsidRDefault="007A0BB2" w:rsidP="007A0BB2">
      <w:pPr>
        <w:ind w:firstLine="720"/>
        <w:jc w:val="both"/>
        <w:rPr>
          <w:sz w:val="28"/>
          <w:szCs w:val="28"/>
        </w:rPr>
      </w:pPr>
      <w:r>
        <w:rPr>
          <w:sz w:val="28"/>
          <w:szCs w:val="28"/>
        </w:rPr>
        <w:t>Vispiemērotākais no skaidrojumiem pēc juridiskā satura ir vārds ‘’</w:t>
      </w:r>
      <w:r w:rsidRPr="009119BE">
        <w:rPr>
          <w:sz w:val="28"/>
          <w:szCs w:val="28"/>
        </w:rPr>
        <w:t>Pamatots</w:t>
      </w:r>
      <w:r>
        <w:rPr>
          <w:sz w:val="28"/>
          <w:szCs w:val="28"/>
        </w:rPr>
        <w:t>’’–Tāds, ko var pierādīt, apstiprināt ar faktiem, pierādījumiem; tāds, kam ir svarīgs iemesls; motivēts. Piemērs, pamatota prasība. Viņa bažas ir bijušas pamatotas.</w:t>
      </w:r>
      <w:r>
        <w:rPr>
          <w:rStyle w:val="FootnoteReference"/>
          <w:sz w:val="28"/>
          <w:szCs w:val="28"/>
        </w:rPr>
        <w:footnoteReference w:id="12"/>
      </w:r>
      <w:r>
        <w:rPr>
          <w:sz w:val="28"/>
          <w:szCs w:val="28"/>
        </w:rPr>
        <w:t xml:space="preserve"> Atklājot šī vārda nozīmi, normas</w:t>
      </w:r>
      <w:r w:rsidRPr="001B2197">
        <w:rPr>
          <w:sz w:val="28"/>
          <w:szCs w:val="28"/>
        </w:rPr>
        <w:t xml:space="preserve"> panta </w:t>
      </w:r>
      <w:r>
        <w:rPr>
          <w:sz w:val="28"/>
          <w:szCs w:val="28"/>
        </w:rPr>
        <w:t xml:space="preserve">redakcijas </w:t>
      </w:r>
      <w:r w:rsidRPr="001B2197">
        <w:rPr>
          <w:sz w:val="28"/>
          <w:szCs w:val="28"/>
        </w:rPr>
        <w:t xml:space="preserve">daļa </w:t>
      </w:r>
      <w:r>
        <w:rPr>
          <w:sz w:val="28"/>
          <w:szCs w:val="28"/>
        </w:rPr>
        <w:t>varētu būt izteikta veiksmīgāk, piemēram šādā redakcijā, ‘’ir pamatots uzskats</w:t>
      </w:r>
      <w:r w:rsidRPr="00706A8E">
        <w:rPr>
          <w:sz w:val="28"/>
          <w:szCs w:val="28"/>
        </w:rPr>
        <w:t>’’</w:t>
      </w:r>
      <w:r>
        <w:rPr>
          <w:sz w:val="28"/>
          <w:szCs w:val="28"/>
        </w:rPr>
        <w:t>. Tas izslēgtu normas piemērotājam iespējas variēt, jo ir skaidri saprotams, ka izteiktajam viedoklim vai uzskatam  ir jābūt pamatotam ar pierādījumiem un  apstiprinātam ar faktiem.</w:t>
      </w:r>
    </w:p>
    <w:p w:rsidR="007A0BB2" w:rsidRPr="001B2197" w:rsidRDefault="007A0BB2" w:rsidP="007A0BB2">
      <w:pPr>
        <w:ind w:firstLine="720"/>
        <w:jc w:val="both"/>
        <w:rPr>
          <w:sz w:val="28"/>
          <w:szCs w:val="28"/>
        </w:rPr>
      </w:pPr>
      <w:r>
        <w:rPr>
          <w:sz w:val="28"/>
          <w:szCs w:val="28"/>
        </w:rPr>
        <w:t>Ņemot vērā to, ka norma nav precīzi un skaidri izteikta no valodas viedokļa, tad praksē bieži procesa virzītājs</w:t>
      </w:r>
      <w:r w:rsidRPr="001B2197">
        <w:rPr>
          <w:sz w:val="28"/>
          <w:szCs w:val="28"/>
        </w:rPr>
        <w:t xml:space="preserve"> ierosinājumos par drošības līdzekļa apcietinājums piemērošanu izmeklēšanas tiesnesi</w:t>
      </w:r>
      <w:r>
        <w:rPr>
          <w:sz w:val="28"/>
          <w:szCs w:val="28"/>
        </w:rPr>
        <w:t>m, atsaucās uz pieņēmumiem, varbūtību un pieļāvumiem</w:t>
      </w:r>
      <w:r w:rsidRPr="001B2197">
        <w:rPr>
          <w:sz w:val="28"/>
          <w:szCs w:val="28"/>
        </w:rPr>
        <w:t>, neatsau</w:t>
      </w:r>
      <w:r>
        <w:rPr>
          <w:sz w:val="28"/>
          <w:szCs w:val="28"/>
        </w:rPr>
        <w:t>coties uz konkrētiem</w:t>
      </w:r>
      <w:r w:rsidRPr="001B2197">
        <w:rPr>
          <w:sz w:val="28"/>
          <w:szCs w:val="28"/>
        </w:rPr>
        <w:t xml:space="preserve"> pierādījumiem par kuru esamību būtu iespējams pārliecināties gan izmeklēš</w:t>
      </w:r>
      <w:r>
        <w:rPr>
          <w:sz w:val="28"/>
          <w:szCs w:val="28"/>
        </w:rPr>
        <w:t>anas tiesnesim, aizstāvībai</w:t>
      </w:r>
      <w:r w:rsidRPr="001B2197">
        <w:rPr>
          <w:sz w:val="28"/>
          <w:szCs w:val="28"/>
        </w:rPr>
        <w:t xml:space="preserve">, gan aizdomās turētajam vai apsūdzētajam. </w:t>
      </w:r>
    </w:p>
    <w:p w:rsidR="007A0BB2" w:rsidRPr="00927839" w:rsidRDefault="007A0BB2" w:rsidP="007A0BB2">
      <w:pPr>
        <w:ind w:firstLine="720"/>
        <w:jc w:val="both"/>
        <w:rPr>
          <w:sz w:val="28"/>
          <w:szCs w:val="28"/>
        </w:rPr>
      </w:pPr>
      <w:r w:rsidRPr="00927839">
        <w:rPr>
          <w:sz w:val="28"/>
          <w:szCs w:val="28"/>
        </w:rPr>
        <w:t xml:space="preserve">Autora izteikumus apstiprina sekojoši tiesu prakses piemēri: </w:t>
      </w:r>
    </w:p>
    <w:p w:rsidR="007A0BB2" w:rsidRDefault="007A0BB2" w:rsidP="007A0BB2">
      <w:pPr>
        <w:jc w:val="both"/>
        <w:rPr>
          <w:sz w:val="28"/>
          <w:szCs w:val="28"/>
        </w:rPr>
      </w:pPr>
      <w:r w:rsidRPr="001B2197">
        <w:rPr>
          <w:sz w:val="28"/>
          <w:szCs w:val="28"/>
        </w:rPr>
        <w:t>1. Kriminālprocess nr.16870004106, kas atradās KNAB lietvedībā, kur izmeklētāji lūdza piemērot aizdom</w:t>
      </w:r>
      <w:r>
        <w:rPr>
          <w:sz w:val="28"/>
          <w:szCs w:val="28"/>
        </w:rPr>
        <w:t>ās turētajam D.</w:t>
      </w:r>
      <w:r w:rsidRPr="001B2197">
        <w:rPr>
          <w:sz w:val="28"/>
          <w:szCs w:val="28"/>
        </w:rPr>
        <w:t xml:space="preserve"> apcietinājumu. Izmeklētāji, lai panāktu apcietinājuma piemērošanu ierosinājumā vairāk kārt akcentēja sekojoša satura fr</w:t>
      </w:r>
      <w:r>
        <w:rPr>
          <w:sz w:val="28"/>
          <w:szCs w:val="28"/>
        </w:rPr>
        <w:t>āzes ‘’pastāv varbūtība, ka D.</w:t>
      </w:r>
      <w:r w:rsidRPr="001B2197">
        <w:rPr>
          <w:sz w:val="28"/>
          <w:szCs w:val="28"/>
        </w:rPr>
        <w:t xml:space="preserve"> traucēs pirmstiesas izmeklēšanu, izdarīs jaunus noziegumus’’, ‘’ir spējīgs organizēt novērošanu, pierādījumu slēpšanu vai iznīcināšanu’’, ‘’var mēģināt ietekmēt lieciniekus’’,</w:t>
      </w:r>
      <w:r>
        <w:rPr>
          <w:sz w:val="28"/>
          <w:szCs w:val="28"/>
        </w:rPr>
        <w:t xml:space="preserve"> ‘’pastāv arī varbūtība, ka D.</w:t>
      </w:r>
      <w:r w:rsidRPr="001B2197">
        <w:rPr>
          <w:sz w:val="28"/>
          <w:szCs w:val="28"/>
        </w:rPr>
        <w:t xml:space="preserve"> var izdarīt jaunus noziedzīgos nodarījumus’’.</w:t>
      </w:r>
      <w:r>
        <w:rPr>
          <w:sz w:val="28"/>
          <w:szCs w:val="28"/>
        </w:rPr>
        <w:t xml:space="preserve"> Pastāv varbūtība D.</w:t>
      </w:r>
      <w:r w:rsidRPr="001B2197">
        <w:rPr>
          <w:sz w:val="28"/>
          <w:szCs w:val="28"/>
        </w:rPr>
        <w:t xml:space="preserve">  pretdarbībai un šī varbūtība ir pietiekoši augsta personas turēšanai apcietinājumā’’, ‘’šajā lietā pastāv pieti</w:t>
      </w:r>
      <w:r>
        <w:rPr>
          <w:sz w:val="28"/>
          <w:szCs w:val="28"/>
        </w:rPr>
        <w:t>ekošs pamats varbūtībai, ka D.</w:t>
      </w:r>
      <w:r w:rsidRPr="001B2197">
        <w:rPr>
          <w:sz w:val="28"/>
          <w:szCs w:val="28"/>
        </w:rPr>
        <w:t xml:space="preserve"> traucēs pirmsties</w:t>
      </w:r>
      <w:r>
        <w:rPr>
          <w:sz w:val="28"/>
          <w:szCs w:val="28"/>
        </w:rPr>
        <w:t xml:space="preserve">as izmeklēšanai.’’ </w:t>
      </w:r>
    </w:p>
    <w:p w:rsidR="007A0BB2" w:rsidRPr="001B2197" w:rsidRDefault="007A0BB2" w:rsidP="007A0BB2">
      <w:pPr>
        <w:ind w:firstLine="720"/>
        <w:jc w:val="both"/>
        <w:rPr>
          <w:sz w:val="28"/>
          <w:szCs w:val="28"/>
        </w:rPr>
      </w:pPr>
      <w:r>
        <w:rPr>
          <w:sz w:val="28"/>
          <w:szCs w:val="28"/>
        </w:rPr>
        <w:t>Autors vērš uzmanību</w:t>
      </w:r>
      <w:r w:rsidRPr="001B2197">
        <w:rPr>
          <w:sz w:val="28"/>
          <w:szCs w:val="28"/>
        </w:rPr>
        <w:t>, ka KNAB ierosinājumā nav neviena</w:t>
      </w:r>
      <w:r>
        <w:rPr>
          <w:sz w:val="28"/>
          <w:szCs w:val="28"/>
        </w:rPr>
        <w:t>s</w:t>
      </w:r>
      <w:r w:rsidRPr="001B2197">
        <w:rPr>
          <w:sz w:val="28"/>
          <w:szCs w:val="28"/>
        </w:rPr>
        <w:t xml:space="preserve"> atsauces uz konkrētiem pierādījumiem, kas apstiprinātu izmeklētāju izteiktos pieļāvumus un pieņēmumus. Tiesa izskatot ierosinājumu nolēma atteik</w:t>
      </w:r>
      <w:r>
        <w:rPr>
          <w:sz w:val="28"/>
          <w:szCs w:val="28"/>
        </w:rPr>
        <w:t>t apcietinājuma piemērošanu D., norādot, ka ‘’</w:t>
      </w:r>
      <w:r w:rsidRPr="001B2197">
        <w:rPr>
          <w:sz w:val="28"/>
          <w:szCs w:val="28"/>
        </w:rPr>
        <w:t xml:space="preserve">procesa virzītāja norādītā </w:t>
      </w:r>
      <w:r w:rsidRPr="00F013E4">
        <w:rPr>
          <w:sz w:val="28"/>
          <w:szCs w:val="28"/>
        </w:rPr>
        <w:t>iespējamība</w:t>
      </w:r>
      <w:r>
        <w:rPr>
          <w:sz w:val="28"/>
          <w:szCs w:val="28"/>
        </w:rPr>
        <w:t>, ka D.</w:t>
      </w:r>
      <w:r w:rsidRPr="001B2197">
        <w:rPr>
          <w:sz w:val="28"/>
          <w:szCs w:val="28"/>
        </w:rPr>
        <w:t xml:space="preserve"> varētu traucēt patiesības noskaidrošanu lietā ietekmējot lieciniekus vai iznīcinot pierādījumus neapstiprinās ar konkrētiem pierādījumiem par faktiem, kas pamato šādu iespējamo </w:t>
      </w:r>
      <w:r w:rsidRPr="001B2197">
        <w:rPr>
          <w:sz w:val="28"/>
          <w:szCs w:val="28"/>
        </w:rPr>
        <w:lastRenderedPageBreak/>
        <w:t>aizdomās turētā rīcību. Varbūtība, ka tiks traucēta patiesības noskaidrošana, pastāv tikai tad, ja aizdomās turētā konkrētās darbības objektīvi apdraud noteiktu izmeklēšanas mērķi, bet tiesnesis nekonstatē, ka lietas materiālos būtu atrodami pamatoti fakti, kas varētu liecināt par šādu aizdomās turētā rīcību. Vērtējot lietas materiālos sniegtās liecības par draudiem izrēķināties</w:t>
      </w:r>
      <w:r>
        <w:rPr>
          <w:sz w:val="28"/>
          <w:szCs w:val="28"/>
        </w:rPr>
        <w:t>,</w:t>
      </w:r>
      <w:r w:rsidRPr="001B2197">
        <w:rPr>
          <w:sz w:val="28"/>
          <w:szCs w:val="28"/>
        </w:rPr>
        <w:t xml:space="preserve"> tiesnesis nekonstatē, ka tie apstiprinātos ar kādiem objektīvi pārbaudāmiem un novērtējamiem f</w:t>
      </w:r>
      <w:r>
        <w:rPr>
          <w:sz w:val="28"/>
          <w:szCs w:val="28"/>
        </w:rPr>
        <w:t>aktiem.’’</w:t>
      </w:r>
    </w:p>
    <w:p w:rsidR="007A0BB2" w:rsidRPr="001B2197" w:rsidRDefault="007A0BB2" w:rsidP="007A0BB2">
      <w:pPr>
        <w:jc w:val="both"/>
        <w:rPr>
          <w:sz w:val="28"/>
          <w:szCs w:val="28"/>
        </w:rPr>
      </w:pPr>
      <w:r>
        <w:rPr>
          <w:sz w:val="28"/>
          <w:szCs w:val="28"/>
        </w:rPr>
        <w:t>2. Kriminālprocess</w:t>
      </w:r>
      <w:r w:rsidRPr="002F7946">
        <w:rPr>
          <w:sz w:val="28"/>
          <w:szCs w:val="28"/>
        </w:rPr>
        <w:t xml:space="preserve"> </w:t>
      </w:r>
      <w:r w:rsidRPr="001B2197">
        <w:rPr>
          <w:sz w:val="28"/>
          <w:szCs w:val="28"/>
        </w:rPr>
        <w:t>nr.11511002005, kas atrodas Drošības policijas lietvedībā  uzsākts par dokumentu-LR pilsoņu pasu viltošanu un izmantošanu, kas izdarīts atkārtoti. Aizdomās par šī noziedzīgā nodarījuma izda</w:t>
      </w:r>
      <w:r>
        <w:rPr>
          <w:sz w:val="28"/>
          <w:szCs w:val="28"/>
        </w:rPr>
        <w:t>rīšanu tiek turēts aizdomās M.</w:t>
      </w:r>
      <w:r w:rsidRPr="001B2197">
        <w:rPr>
          <w:sz w:val="28"/>
          <w:szCs w:val="28"/>
        </w:rPr>
        <w:t xml:space="preserve"> Izmeklētājs, lai panāktu apcietinājuma </w:t>
      </w:r>
      <w:r>
        <w:rPr>
          <w:sz w:val="28"/>
          <w:szCs w:val="28"/>
        </w:rPr>
        <w:t>piemērošanu ierosinājumā vairāk</w:t>
      </w:r>
      <w:r w:rsidRPr="001B2197">
        <w:rPr>
          <w:sz w:val="28"/>
          <w:szCs w:val="28"/>
        </w:rPr>
        <w:t>kārt akcentēja sekojoša satura frāzes ‘’kriminālprocesa materiāli dod pietiekošu pamatu apgal</w:t>
      </w:r>
      <w:r>
        <w:rPr>
          <w:sz w:val="28"/>
          <w:szCs w:val="28"/>
        </w:rPr>
        <w:t>vojumam, ka M.</w:t>
      </w:r>
      <w:r w:rsidRPr="001B2197">
        <w:rPr>
          <w:sz w:val="28"/>
          <w:szCs w:val="28"/>
        </w:rPr>
        <w:t xml:space="preserve"> pirmstiesas izmeklēšanas laikā atrodoties brīvībā traucēs izmeklēšanai, tādejādi kavējot kriminālprocesa savlaicīgu norisi un patiesības noskaidrošanu’’, ir pamatotas aizdomas, ka personai atrodoties brīvībā </w:t>
      </w:r>
      <w:r>
        <w:rPr>
          <w:sz w:val="28"/>
          <w:szCs w:val="28"/>
        </w:rPr>
        <w:t xml:space="preserve">var tikt saskaņotas liecības’’. </w:t>
      </w:r>
      <w:r w:rsidRPr="001B2197">
        <w:rPr>
          <w:sz w:val="28"/>
          <w:szCs w:val="28"/>
        </w:rPr>
        <w:t>Tiesa izvērtējot ierosinājumu, krimināllietas materiālus u</w:t>
      </w:r>
      <w:r>
        <w:rPr>
          <w:sz w:val="28"/>
          <w:szCs w:val="28"/>
        </w:rPr>
        <w:t>n uzklausot viedokļus, secināja</w:t>
      </w:r>
      <w:r w:rsidRPr="001B2197">
        <w:rPr>
          <w:sz w:val="28"/>
          <w:szCs w:val="28"/>
        </w:rPr>
        <w:t xml:space="preserve">, ka ‘’nav pamata piekrist procesa virzītāja ierosinājumam, jo konkrētā kriminālprocesā materiāli nepierāda, ka pastāv apcietināšanas pamats.’’ </w:t>
      </w:r>
      <w:r>
        <w:rPr>
          <w:sz w:val="28"/>
          <w:szCs w:val="28"/>
        </w:rPr>
        <w:t xml:space="preserve">  </w:t>
      </w:r>
      <w:r w:rsidRPr="001B2197">
        <w:rPr>
          <w:sz w:val="28"/>
          <w:szCs w:val="28"/>
        </w:rPr>
        <w:t>Bez tam, tiesa norādīja, ka ‘’ar kriminālprocesā esošiem pierā</w:t>
      </w:r>
      <w:r>
        <w:rPr>
          <w:sz w:val="28"/>
          <w:szCs w:val="28"/>
        </w:rPr>
        <w:t>dījumiem nav konstatēts, ka M.</w:t>
      </w:r>
      <w:r w:rsidRPr="001B2197">
        <w:rPr>
          <w:sz w:val="28"/>
          <w:szCs w:val="28"/>
        </w:rPr>
        <w:t xml:space="preserve"> būtu centies kādu ietekmēt, slēpt vai iznīcināt pieradījumus, izvairīties vai traucēt izmeklēšanu. Tāpēc pastāvot tikai procesa virzītāja pieļāvumam par ie</w:t>
      </w:r>
      <w:r>
        <w:rPr>
          <w:sz w:val="28"/>
          <w:szCs w:val="28"/>
        </w:rPr>
        <w:t>spējamību kādu ietekmēt</w:t>
      </w:r>
      <w:r w:rsidRPr="001B2197">
        <w:rPr>
          <w:sz w:val="28"/>
          <w:szCs w:val="28"/>
        </w:rPr>
        <w:t>, secināms, ka  šo iespējamību var novērst</w:t>
      </w:r>
      <w:r>
        <w:rPr>
          <w:sz w:val="28"/>
          <w:szCs w:val="28"/>
        </w:rPr>
        <w:t>,</w:t>
      </w:r>
      <w:r w:rsidRPr="001B2197">
        <w:rPr>
          <w:sz w:val="28"/>
          <w:szCs w:val="28"/>
        </w:rPr>
        <w:t xml:space="preserve"> piemērojot mazāk ierobežojošu drošības līd</w:t>
      </w:r>
      <w:r>
        <w:rPr>
          <w:sz w:val="28"/>
          <w:szCs w:val="28"/>
        </w:rPr>
        <w:t>zekli.’’</w:t>
      </w:r>
    </w:p>
    <w:p w:rsidR="007A0BB2" w:rsidRPr="001B2197" w:rsidRDefault="007A0BB2" w:rsidP="007A0BB2">
      <w:pPr>
        <w:ind w:firstLine="720"/>
        <w:jc w:val="both"/>
        <w:rPr>
          <w:sz w:val="28"/>
          <w:szCs w:val="28"/>
        </w:rPr>
      </w:pPr>
      <w:r>
        <w:rPr>
          <w:sz w:val="28"/>
          <w:szCs w:val="28"/>
        </w:rPr>
        <w:t>L</w:t>
      </w:r>
      <w:r w:rsidRPr="001B2197">
        <w:rPr>
          <w:sz w:val="28"/>
          <w:szCs w:val="28"/>
        </w:rPr>
        <w:t>ai izslēgtu un novērstu nepamatotu un nel</w:t>
      </w:r>
      <w:r>
        <w:rPr>
          <w:sz w:val="28"/>
          <w:szCs w:val="28"/>
        </w:rPr>
        <w:t>ikumīgu vēršanos ar ierosinājumiem</w:t>
      </w:r>
      <w:r w:rsidRPr="001B2197">
        <w:rPr>
          <w:sz w:val="28"/>
          <w:szCs w:val="28"/>
        </w:rPr>
        <w:t xml:space="preserve"> par apcietinājuma piemērošanu pie izmeklēšanas tiesneša, </w:t>
      </w:r>
      <w:r>
        <w:rPr>
          <w:sz w:val="28"/>
          <w:szCs w:val="28"/>
        </w:rPr>
        <w:t>autors ierosina</w:t>
      </w:r>
      <w:r w:rsidRPr="001B2197">
        <w:rPr>
          <w:sz w:val="28"/>
          <w:szCs w:val="28"/>
        </w:rPr>
        <w:t xml:space="preserve">  aizstāt KPL 241.p.2.d. vārdus </w:t>
      </w:r>
      <w:r w:rsidRPr="009918CC">
        <w:rPr>
          <w:i/>
          <w:sz w:val="28"/>
          <w:szCs w:val="28"/>
        </w:rPr>
        <w:t xml:space="preserve">‘’ja ir pamats uzskatīt’’ </w:t>
      </w:r>
      <w:r w:rsidRPr="001B2197">
        <w:rPr>
          <w:sz w:val="28"/>
          <w:szCs w:val="28"/>
        </w:rPr>
        <w:t>ar vārdiem ‘’ja kriminālprocesā ir iegūti pierādījumi, kas norāda’’ vai izteikt KPL 241.p.2.d. šādā redakcijā:</w:t>
      </w:r>
    </w:p>
    <w:p w:rsidR="007A0BB2" w:rsidRPr="001B2197" w:rsidRDefault="007A0BB2" w:rsidP="007A0BB2">
      <w:pPr>
        <w:jc w:val="both"/>
        <w:rPr>
          <w:sz w:val="28"/>
          <w:szCs w:val="28"/>
        </w:rPr>
      </w:pPr>
      <w:r w:rsidRPr="001B2197">
        <w:rPr>
          <w:sz w:val="28"/>
          <w:szCs w:val="28"/>
        </w:rPr>
        <w:t xml:space="preserve">‘’(2) Drošības līdzekli kā procesuālo piespiedu līdzekli piemēro aizdomās turētajam vai apsūdzētajam, </w:t>
      </w:r>
      <w:r w:rsidRPr="001B2197">
        <w:rPr>
          <w:i/>
          <w:sz w:val="28"/>
          <w:szCs w:val="28"/>
        </w:rPr>
        <w:t>ja kriminālprocesā ir iegūti pierādījumi, kas norāda</w:t>
      </w:r>
      <w:r w:rsidRPr="001B2197">
        <w:rPr>
          <w:sz w:val="28"/>
          <w:szCs w:val="28"/>
        </w:rPr>
        <w:t>, ka attiecīgā persona turpinās noziedzīgās darbības, izvairīsies no izmeklēšanas un tiesas.’’</w:t>
      </w:r>
    </w:p>
    <w:p w:rsidR="007A0BB2" w:rsidRDefault="007A0BB2" w:rsidP="007A0BB2">
      <w:pPr>
        <w:jc w:val="both"/>
        <w:rPr>
          <w:sz w:val="28"/>
          <w:szCs w:val="28"/>
        </w:rPr>
      </w:pPr>
    </w:p>
    <w:p w:rsidR="007A0BB2" w:rsidRPr="004A555E" w:rsidRDefault="007A0BB2" w:rsidP="007A0BB2">
      <w:pPr>
        <w:pStyle w:val="ListParagraph"/>
        <w:numPr>
          <w:ilvl w:val="1"/>
          <w:numId w:val="15"/>
        </w:numPr>
        <w:jc w:val="both"/>
        <w:rPr>
          <w:b/>
          <w:sz w:val="28"/>
          <w:szCs w:val="28"/>
        </w:rPr>
      </w:pPr>
      <w:r w:rsidRPr="004A555E">
        <w:rPr>
          <w:b/>
          <w:sz w:val="28"/>
          <w:szCs w:val="28"/>
        </w:rPr>
        <w:t>Drošības līdzekļu piemērošanas nosacījumu ievērošana tiesu praksē</w:t>
      </w:r>
    </w:p>
    <w:p w:rsidR="007A0BB2" w:rsidRDefault="007A0BB2" w:rsidP="007A0BB2">
      <w:pPr>
        <w:pStyle w:val="naisf"/>
        <w:spacing w:before="0" w:beforeAutospacing="0" w:after="0" w:afterAutospacing="0"/>
        <w:ind w:firstLine="720"/>
        <w:jc w:val="both"/>
        <w:rPr>
          <w:sz w:val="28"/>
          <w:szCs w:val="28"/>
          <w:lang w:val="lv-LV"/>
        </w:rPr>
      </w:pPr>
    </w:p>
    <w:p w:rsidR="007A0BB2" w:rsidRPr="001B2197" w:rsidRDefault="007A0BB2" w:rsidP="007A0BB2">
      <w:pPr>
        <w:pStyle w:val="naisf"/>
        <w:spacing w:before="0" w:beforeAutospacing="0" w:after="0" w:afterAutospacing="0"/>
        <w:ind w:firstLine="720"/>
        <w:jc w:val="both"/>
        <w:rPr>
          <w:sz w:val="28"/>
          <w:szCs w:val="28"/>
          <w:lang w:val="lv-LV"/>
        </w:rPr>
      </w:pPr>
      <w:r>
        <w:rPr>
          <w:sz w:val="28"/>
          <w:szCs w:val="28"/>
          <w:lang w:val="lv-LV"/>
        </w:rPr>
        <w:t xml:space="preserve">Kā </w:t>
      </w:r>
      <w:r w:rsidRPr="00C53ABB">
        <w:rPr>
          <w:sz w:val="28"/>
          <w:szCs w:val="28"/>
          <w:lang w:val="lv-LV"/>
        </w:rPr>
        <w:t>problēmu,</w:t>
      </w:r>
      <w:r>
        <w:rPr>
          <w:sz w:val="28"/>
          <w:szCs w:val="28"/>
          <w:lang w:val="lv-LV"/>
        </w:rPr>
        <w:t xml:space="preserve"> kuru vēlētos izcelt autors ir </w:t>
      </w:r>
      <w:r w:rsidRPr="00C53ABB">
        <w:rPr>
          <w:sz w:val="28"/>
          <w:szCs w:val="28"/>
          <w:lang w:val="lv-LV"/>
        </w:rPr>
        <w:t xml:space="preserve">tiesas tendence nemotivēt savus pieņemtos lēmumus, kad tiek skatīts jautājums par </w:t>
      </w:r>
      <w:r>
        <w:rPr>
          <w:sz w:val="28"/>
          <w:szCs w:val="28"/>
          <w:lang w:val="lv-LV"/>
        </w:rPr>
        <w:t xml:space="preserve">procesuālā piespiedu līdzekļa piemērošanu, tajā skaitā arī </w:t>
      </w:r>
      <w:r w:rsidRPr="00C53ABB">
        <w:rPr>
          <w:sz w:val="28"/>
          <w:szCs w:val="28"/>
          <w:lang w:val="lv-LV"/>
        </w:rPr>
        <w:t>apcietinājuma piemērošanu. Vispārējā norma, kas i</w:t>
      </w:r>
      <w:r>
        <w:rPr>
          <w:sz w:val="28"/>
          <w:szCs w:val="28"/>
          <w:lang w:val="lv-LV"/>
        </w:rPr>
        <w:t>r</w:t>
      </w:r>
      <w:r w:rsidRPr="00C53ABB">
        <w:rPr>
          <w:sz w:val="28"/>
          <w:szCs w:val="28"/>
          <w:lang w:val="lv-LV"/>
        </w:rPr>
        <w:t xml:space="preserve"> ietverta KPL 245</w:t>
      </w:r>
      <w:r>
        <w:rPr>
          <w:sz w:val="28"/>
          <w:szCs w:val="28"/>
          <w:lang w:val="lv-LV"/>
        </w:rPr>
        <w:t>.p.</w:t>
      </w:r>
      <w:r w:rsidRPr="00C53ABB">
        <w:rPr>
          <w:sz w:val="28"/>
          <w:szCs w:val="28"/>
          <w:lang w:val="lv-LV"/>
        </w:rPr>
        <w:t xml:space="preserve"> nosaka, ka </w:t>
      </w:r>
      <w:r>
        <w:rPr>
          <w:sz w:val="28"/>
          <w:szCs w:val="28"/>
          <w:lang w:val="lv-LV"/>
        </w:rPr>
        <w:lastRenderedPageBreak/>
        <w:t>procesuālā piespiedu līdzekli</w:t>
      </w:r>
      <w:r w:rsidRPr="00C53ABB">
        <w:rPr>
          <w:sz w:val="28"/>
          <w:szCs w:val="28"/>
          <w:lang w:val="lv-LV"/>
        </w:rPr>
        <w:t xml:space="preserve"> piemēro izmeklēšanas tiesnesis ar motivētu rakstveida lēmumu, kurā norāda: personu, kurai piemērojams piespiedu līdzeklis, piespiedu </w:t>
      </w:r>
      <w:r>
        <w:rPr>
          <w:sz w:val="28"/>
          <w:szCs w:val="28"/>
          <w:lang w:val="lv-LV"/>
        </w:rPr>
        <w:t>līdzekļa piemērošanas pamatu</w:t>
      </w:r>
      <w:r w:rsidRPr="00C53ABB">
        <w:rPr>
          <w:sz w:val="28"/>
          <w:szCs w:val="28"/>
          <w:lang w:val="lv-LV"/>
        </w:rPr>
        <w:t xml:space="preserve">, </w:t>
      </w:r>
      <w:r w:rsidRPr="001B2197">
        <w:rPr>
          <w:sz w:val="28"/>
          <w:szCs w:val="28"/>
          <w:lang w:val="lv-LV"/>
        </w:rPr>
        <w:t>piespiedu līdzekļa veidu</w:t>
      </w:r>
      <w:r>
        <w:rPr>
          <w:sz w:val="28"/>
          <w:szCs w:val="28"/>
          <w:lang w:val="lv-LV"/>
        </w:rPr>
        <w:t>,</w:t>
      </w:r>
      <w:r w:rsidRPr="00C53ABB">
        <w:rPr>
          <w:sz w:val="28"/>
          <w:szCs w:val="28"/>
          <w:lang w:val="lv-LV"/>
        </w:rPr>
        <w:t xml:space="preserve"> iestādi vai person</w:t>
      </w:r>
      <w:r>
        <w:rPr>
          <w:sz w:val="28"/>
          <w:szCs w:val="28"/>
          <w:lang w:val="lv-LV"/>
        </w:rPr>
        <w:t>u, kurai uzdots lēmumu izpildīt,</w:t>
      </w:r>
      <w:r w:rsidRPr="00C53ABB">
        <w:rPr>
          <w:sz w:val="28"/>
          <w:szCs w:val="28"/>
          <w:lang w:val="lv-LV"/>
        </w:rPr>
        <w:t xml:space="preserve"> lēmuma pārsūdzēšanas kārtību.</w:t>
      </w:r>
      <w:r>
        <w:rPr>
          <w:sz w:val="28"/>
          <w:szCs w:val="28"/>
          <w:lang w:val="lv-LV"/>
        </w:rPr>
        <w:t xml:space="preserve"> Iepazīstoties ar šo normu, nav konstatējams, ka lēmums būtu motivējams ar konkrētiem pierādījumiem, tā dodot normas piemērotājam iespēju atsaukties arī uz pieņēmumiem un pieļāvumiem, kas nav balstīti uz pierādījumiem. Izmantojot sistēmisko interpretācijas metodi, autors veiks tālāku pārbaudi un precizēšanu no normu savstarpējā viedokļa. Izanalizējot KPL 274.p.5.d. un 320.p.4.d., jāsecina, ka arī citās normās, kas attiecas uz apskatāmo jautājumu, nav precīzi norādīts, ka būtu obligāti jāatsaucas uz pierādījumiem. Tā KPL 274.p.5.d. ir noteikts, ka izmeklēšanas tiesnesis lēmumā pamato apcietinājumu vai citu drošības līdzekļa piemērošanu ar konkrētiem, uz lietas materiāliem balstītiem apsvērumiem.</w:t>
      </w:r>
    </w:p>
    <w:p w:rsidR="007A0BB2" w:rsidRDefault="007A0BB2" w:rsidP="007A0BB2">
      <w:pPr>
        <w:pStyle w:val="naisf"/>
        <w:spacing w:before="0" w:beforeAutospacing="0" w:after="0" w:afterAutospacing="0"/>
        <w:ind w:firstLine="720"/>
        <w:jc w:val="both"/>
        <w:rPr>
          <w:sz w:val="28"/>
          <w:szCs w:val="28"/>
          <w:lang w:val="lv-LV"/>
        </w:rPr>
      </w:pPr>
      <w:r w:rsidRPr="00D5519C">
        <w:rPr>
          <w:sz w:val="28"/>
          <w:szCs w:val="28"/>
          <w:lang w:val="lv-LV"/>
        </w:rPr>
        <w:t>Izman</w:t>
      </w:r>
      <w:r>
        <w:rPr>
          <w:sz w:val="28"/>
          <w:szCs w:val="28"/>
          <w:lang w:val="lv-LV"/>
        </w:rPr>
        <w:t>tojot gramatisko</w:t>
      </w:r>
      <w:r w:rsidRPr="00D5519C">
        <w:rPr>
          <w:sz w:val="28"/>
          <w:szCs w:val="28"/>
          <w:lang w:val="lv-LV"/>
        </w:rPr>
        <w:t xml:space="preserve"> metodi, au</w:t>
      </w:r>
      <w:r>
        <w:rPr>
          <w:sz w:val="28"/>
          <w:szCs w:val="28"/>
          <w:lang w:val="lv-LV"/>
        </w:rPr>
        <w:t>tors izanalizēs</w:t>
      </w:r>
      <w:r w:rsidRPr="00D5519C">
        <w:rPr>
          <w:sz w:val="28"/>
          <w:szCs w:val="28"/>
          <w:lang w:val="lv-LV"/>
        </w:rPr>
        <w:t xml:space="preserve"> </w:t>
      </w:r>
      <w:r>
        <w:rPr>
          <w:sz w:val="28"/>
          <w:szCs w:val="28"/>
          <w:lang w:val="lv-LV"/>
        </w:rPr>
        <w:t xml:space="preserve">vārda ‘’apsvērt un apsvērums ’’ </w:t>
      </w:r>
      <w:r w:rsidRPr="00D5519C">
        <w:rPr>
          <w:sz w:val="28"/>
          <w:szCs w:val="28"/>
          <w:lang w:val="lv-LV"/>
        </w:rPr>
        <w:t xml:space="preserve">nozīmi. Vārdnīcā </w:t>
      </w:r>
      <w:r>
        <w:rPr>
          <w:sz w:val="28"/>
          <w:szCs w:val="28"/>
          <w:lang w:val="lv-LV"/>
        </w:rPr>
        <w:t>vārdam ‘’apsvērt’’ dots sekojošs skaidrojums: Pārdomāt; iepriekš vispusīgi izdomāt un novērtēt, vārds  ‘’apsvērums’’ skaidrots kā paveikta darbība, apsvērt; slēdziens, kas iegūts apsverot.</w:t>
      </w:r>
      <w:r>
        <w:rPr>
          <w:rStyle w:val="FootnoteReference"/>
          <w:sz w:val="28"/>
          <w:szCs w:val="28"/>
          <w:lang w:val="lv-LV"/>
        </w:rPr>
        <w:footnoteReference w:id="13"/>
      </w:r>
      <w:r>
        <w:rPr>
          <w:sz w:val="28"/>
          <w:szCs w:val="28"/>
          <w:lang w:val="lv-LV"/>
        </w:rPr>
        <w:t xml:space="preserve"> Kā redzams, nevienam izanalizētajam vārdam nav saistības ar atsaukšanos uz pierādījumiem. Arī KPL 320.p., kur noteikts, kādai ir jābūt lēmuma struktūrai, 4.daļā  ir minēts, ka motīvu daļā pamato izdarīto secinājumu. Nav loģiska izskaidrojuma, kādēļ likumdevējs nav paudis šajās normās  skaidru nostāju. </w:t>
      </w:r>
    </w:p>
    <w:p w:rsidR="007A0BB2" w:rsidRPr="00355E3A" w:rsidRDefault="007A0BB2" w:rsidP="007A0BB2">
      <w:pPr>
        <w:pStyle w:val="naisf"/>
        <w:spacing w:before="0" w:beforeAutospacing="0" w:after="0" w:afterAutospacing="0"/>
        <w:ind w:firstLine="720"/>
        <w:jc w:val="both"/>
        <w:rPr>
          <w:sz w:val="28"/>
          <w:szCs w:val="28"/>
          <w:lang w:val="lv-LV"/>
        </w:rPr>
      </w:pPr>
      <w:r>
        <w:rPr>
          <w:sz w:val="28"/>
          <w:szCs w:val="28"/>
          <w:lang w:val="lv-LV"/>
        </w:rPr>
        <w:t>L</w:t>
      </w:r>
      <w:r w:rsidRPr="00912E14">
        <w:rPr>
          <w:sz w:val="28"/>
          <w:szCs w:val="28"/>
          <w:lang w:val="lv-LV"/>
        </w:rPr>
        <w:t xml:space="preserve">ai nerastos neskaidrības un pārpratumi, </w:t>
      </w:r>
      <w:r>
        <w:rPr>
          <w:sz w:val="28"/>
          <w:szCs w:val="28"/>
          <w:lang w:val="lv-LV"/>
        </w:rPr>
        <w:t>a</w:t>
      </w:r>
      <w:r w:rsidRPr="00355E3A">
        <w:rPr>
          <w:sz w:val="28"/>
          <w:szCs w:val="28"/>
          <w:lang w:val="lv-LV"/>
        </w:rPr>
        <w:t>uto</w:t>
      </w:r>
      <w:r>
        <w:rPr>
          <w:sz w:val="28"/>
          <w:szCs w:val="28"/>
          <w:lang w:val="lv-LV"/>
        </w:rPr>
        <w:t>rs piedāvā papildināt KPL 245.panta ‘’Lēmums par procesuālā piespiedu līdzekļa piemērošanu’’ 1.daļu</w:t>
      </w:r>
      <w:r w:rsidRPr="00355E3A">
        <w:rPr>
          <w:sz w:val="28"/>
          <w:szCs w:val="28"/>
          <w:lang w:val="lv-LV"/>
        </w:rPr>
        <w:t xml:space="preserve"> ar 7.punktu šādā redakcijā:</w:t>
      </w:r>
    </w:p>
    <w:p w:rsidR="007A0BB2" w:rsidRPr="00484B0F" w:rsidRDefault="007A0BB2" w:rsidP="007A0BB2">
      <w:pPr>
        <w:jc w:val="both"/>
        <w:rPr>
          <w:sz w:val="28"/>
          <w:szCs w:val="28"/>
        </w:rPr>
      </w:pPr>
      <w:r w:rsidRPr="001B2197">
        <w:rPr>
          <w:sz w:val="28"/>
          <w:szCs w:val="28"/>
        </w:rPr>
        <w:t xml:space="preserve"> ‘’7) </w:t>
      </w:r>
      <w:r w:rsidRPr="00484B0F">
        <w:rPr>
          <w:sz w:val="28"/>
          <w:szCs w:val="28"/>
        </w:rPr>
        <w:t>pierādījumi, kas pamato piespiedu līdzekļa piemērošanu.’’</w:t>
      </w:r>
    </w:p>
    <w:p w:rsidR="007A0BB2" w:rsidRPr="001B2197" w:rsidRDefault="007A0BB2" w:rsidP="007A0BB2">
      <w:pPr>
        <w:jc w:val="both"/>
        <w:rPr>
          <w:sz w:val="28"/>
          <w:szCs w:val="28"/>
        </w:rPr>
      </w:pPr>
      <w:r w:rsidRPr="001B2197">
        <w:rPr>
          <w:sz w:val="28"/>
          <w:szCs w:val="28"/>
        </w:rPr>
        <w:t>Šāda panta redakcija n</w:t>
      </w:r>
      <w:r>
        <w:rPr>
          <w:sz w:val="28"/>
          <w:szCs w:val="28"/>
        </w:rPr>
        <w:t>ovērstu nepamatotu</w:t>
      </w:r>
      <w:r w:rsidRPr="001B2197">
        <w:rPr>
          <w:sz w:val="28"/>
          <w:szCs w:val="28"/>
        </w:rPr>
        <w:t xml:space="preserve"> lēmumu pieņemšanu</w:t>
      </w:r>
      <w:r>
        <w:rPr>
          <w:sz w:val="28"/>
          <w:szCs w:val="28"/>
        </w:rPr>
        <w:t xml:space="preserve"> gan no procesa virzītāja puses gan no izmeklēšanas tiesneša, un izslēgtu nelikumīgu</w:t>
      </w:r>
      <w:r w:rsidRPr="001B2197">
        <w:rPr>
          <w:sz w:val="28"/>
          <w:szCs w:val="28"/>
        </w:rPr>
        <w:t xml:space="preserve"> aizdomās turētās vai apsūdzētas personas apcietināšanu. Līdz ar to arī tiktu izslēgta nevajadzīga un neracionāla izmeklēšanas tiesnešu lēmu</w:t>
      </w:r>
      <w:r>
        <w:rPr>
          <w:sz w:val="28"/>
          <w:szCs w:val="28"/>
        </w:rPr>
        <w:t>mu pārsūdzēšana gan no aizstāvības</w:t>
      </w:r>
      <w:r w:rsidRPr="001B2197">
        <w:rPr>
          <w:sz w:val="28"/>
          <w:szCs w:val="28"/>
        </w:rPr>
        <w:t>, gan no procesa virzītāja puses.</w:t>
      </w:r>
    </w:p>
    <w:p w:rsidR="007A0BB2" w:rsidRDefault="007A0BB2" w:rsidP="007A0BB2">
      <w:pPr>
        <w:ind w:firstLine="720"/>
        <w:jc w:val="both"/>
        <w:rPr>
          <w:sz w:val="28"/>
          <w:szCs w:val="28"/>
        </w:rPr>
      </w:pPr>
      <w:r w:rsidRPr="001B2197">
        <w:rPr>
          <w:sz w:val="28"/>
          <w:szCs w:val="28"/>
        </w:rPr>
        <w:t xml:space="preserve">Autors </w:t>
      </w:r>
      <w:r>
        <w:rPr>
          <w:sz w:val="28"/>
          <w:szCs w:val="28"/>
        </w:rPr>
        <w:t xml:space="preserve">ilustrācijai vēlas vērst uzmanību </w:t>
      </w:r>
      <w:r w:rsidRPr="001B2197">
        <w:rPr>
          <w:sz w:val="28"/>
          <w:szCs w:val="28"/>
        </w:rPr>
        <w:t>uz tiesas lēmumu krimināllietā nr. 13870001704</w:t>
      </w:r>
      <w:r>
        <w:rPr>
          <w:sz w:val="28"/>
          <w:szCs w:val="28"/>
        </w:rPr>
        <w:t>,</w:t>
      </w:r>
      <w:r w:rsidRPr="001B2197">
        <w:rPr>
          <w:sz w:val="28"/>
          <w:szCs w:val="28"/>
        </w:rPr>
        <w:t xml:space="preserve"> kurā par</w:t>
      </w:r>
      <w:r>
        <w:rPr>
          <w:sz w:val="28"/>
          <w:szCs w:val="28"/>
        </w:rPr>
        <w:t xml:space="preserve"> kukuļa pieprasīšanas faktu </w:t>
      </w:r>
      <w:r w:rsidRPr="001B2197">
        <w:rPr>
          <w:sz w:val="28"/>
          <w:szCs w:val="28"/>
        </w:rPr>
        <w:t>un dokumentu viltošanu un izmantošanu kukuļošanas priekšmet</w:t>
      </w:r>
      <w:r>
        <w:rPr>
          <w:sz w:val="28"/>
          <w:szCs w:val="28"/>
        </w:rPr>
        <w:t xml:space="preserve">a saņemšanai tika apcietināts  J. </w:t>
      </w:r>
      <w:r w:rsidRPr="001B2197">
        <w:rPr>
          <w:sz w:val="28"/>
          <w:szCs w:val="28"/>
        </w:rPr>
        <w:t>Tiesas</w:t>
      </w:r>
      <w:r>
        <w:rPr>
          <w:sz w:val="28"/>
          <w:szCs w:val="28"/>
        </w:rPr>
        <w:t xml:space="preserve"> secināja, ka </w:t>
      </w:r>
      <w:r w:rsidRPr="001B2197">
        <w:rPr>
          <w:sz w:val="28"/>
          <w:szCs w:val="28"/>
        </w:rPr>
        <w:t>‘’Noklausoties procesa dalībnieku v</w:t>
      </w:r>
      <w:r>
        <w:rPr>
          <w:sz w:val="28"/>
          <w:szCs w:val="28"/>
        </w:rPr>
        <w:t>iedokli, tiesa ņem vērā, ka J.</w:t>
      </w:r>
      <w:r w:rsidRPr="001B2197">
        <w:rPr>
          <w:sz w:val="28"/>
          <w:szCs w:val="28"/>
        </w:rPr>
        <w:t xml:space="preserve"> ir pastāvīga dzīvesvieta un darba vieta, to, ka viņš nav agrāk tiesāts, viņa veselības stāvoklis, tiek turēts aizdomās par smaga noziedzīgā nodarījuma izdarīšanu, noziedzīgā nodarījuma raksturs un radīto kaitējumu valsts izglītības sistēmas prestižam, </w:t>
      </w:r>
      <w:r>
        <w:rPr>
          <w:sz w:val="28"/>
          <w:szCs w:val="28"/>
        </w:rPr>
        <w:t xml:space="preserve">tiesa </w:t>
      </w:r>
      <w:r w:rsidRPr="001B2197">
        <w:rPr>
          <w:sz w:val="28"/>
          <w:szCs w:val="28"/>
        </w:rPr>
        <w:lastRenderedPageBreak/>
        <w:t xml:space="preserve">uzskatu, ka </w:t>
      </w:r>
      <w:r>
        <w:rPr>
          <w:sz w:val="28"/>
          <w:szCs w:val="28"/>
        </w:rPr>
        <w:t>pastāv varbūtība, ka J.</w:t>
      </w:r>
      <w:r w:rsidRPr="006E6EC0">
        <w:rPr>
          <w:sz w:val="28"/>
          <w:szCs w:val="28"/>
        </w:rPr>
        <w:t xml:space="preserve"> būdams brīvībā var traucēt patiesības noskaidrošanu krimināllietā.</w:t>
      </w:r>
      <w:r>
        <w:rPr>
          <w:sz w:val="28"/>
          <w:szCs w:val="28"/>
        </w:rPr>
        <w:t xml:space="preserve"> Līdz ar to J. </w:t>
      </w:r>
      <w:r w:rsidRPr="001B2197">
        <w:rPr>
          <w:sz w:val="28"/>
          <w:szCs w:val="28"/>
        </w:rPr>
        <w:t xml:space="preserve"> ir piemērojams apcietinājums.’’ </w:t>
      </w:r>
      <w:r>
        <w:rPr>
          <w:sz w:val="28"/>
          <w:szCs w:val="28"/>
        </w:rPr>
        <w:t>Analizējot</w:t>
      </w:r>
      <w:r w:rsidRPr="001B2197">
        <w:rPr>
          <w:sz w:val="28"/>
          <w:szCs w:val="28"/>
        </w:rPr>
        <w:t xml:space="preserve"> tiesas lēmumu jāsecina, ka lēmums ir virspusējs un formāls, jo nesatur pašu svarīgāko t.i. atsauci uz pierādījumiem, kas pamatotu apcietinājuma pie</w:t>
      </w:r>
      <w:r>
        <w:rPr>
          <w:sz w:val="28"/>
          <w:szCs w:val="28"/>
        </w:rPr>
        <w:t xml:space="preserve">mērošanu. </w:t>
      </w:r>
    </w:p>
    <w:p w:rsidR="007A0BB2" w:rsidRDefault="007A0BB2" w:rsidP="007A0BB2">
      <w:pPr>
        <w:ind w:firstLine="720"/>
        <w:jc w:val="both"/>
        <w:rPr>
          <w:sz w:val="28"/>
          <w:szCs w:val="28"/>
        </w:rPr>
      </w:pPr>
      <w:r>
        <w:rPr>
          <w:sz w:val="28"/>
          <w:szCs w:val="28"/>
        </w:rPr>
        <w:t xml:space="preserve">Vēl nesenā pagātnē, kad spēkā bija Kriminālprocesa kodeksa </w:t>
      </w:r>
      <w:r w:rsidRPr="001B2197">
        <w:rPr>
          <w:sz w:val="28"/>
          <w:szCs w:val="28"/>
        </w:rPr>
        <w:t>72.p</w:t>
      </w:r>
      <w:r>
        <w:rPr>
          <w:sz w:val="28"/>
          <w:szCs w:val="28"/>
        </w:rPr>
        <w:t xml:space="preserve">ants, tiesas </w:t>
      </w:r>
      <w:r w:rsidRPr="00F45420">
        <w:rPr>
          <w:sz w:val="28"/>
          <w:szCs w:val="28"/>
        </w:rPr>
        <w:t>izlemjot jautājumu par drošības līdzekļa piemērošanu</w:t>
      </w:r>
      <w:r>
        <w:rPr>
          <w:sz w:val="28"/>
          <w:szCs w:val="28"/>
        </w:rPr>
        <w:t xml:space="preserve"> ņē</w:t>
      </w:r>
      <w:r w:rsidRPr="00F45420">
        <w:rPr>
          <w:sz w:val="28"/>
          <w:szCs w:val="28"/>
        </w:rPr>
        <w:t>m</w:t>
      </w:r>
      <w:r>
        <w:rPr>
          <w:sz w:val="28"/>
          <w:szCs w:val="28"/>
        </w:rPr>
        <w:t>a</w:t>
      </w:r>
      <w:r w:rsidRPr="00F45420">
        <w:rPr>
          <w:sz w:val="28"/>
          <w:szCs w:val="28"/>
        </w:rPr>
        <w:t xml:space="preserve"> vērā </w:t>
      </w:r>
      <w:r>
        <w:rPr>
          <w:sz w:val="28"/>
          <w:szCs w:val="28"/>
        </w:rPr>
        <w:t>‘’</w:t>
      </w:r>
      <w:r w:rsidRPr="00F614FE">
        <w:rPr>
          <w:sz w:val="28"/>
          <w:szCs w:val="28"/>
        </w:rPr>
        <w:t>varbūtību</w:t>
      </w:r>
      <w:r w:rsidRPr="00F45420">
        <w:rPr>
          <w:sz w:val="28"/>
          <w:szCs w:val="28"/>
        </w:rPr>
        <w:t>, ka apsūdzētais izvairīsies no izmeklēšanas, traucēs patiesības no</w:t>
      </w:r>
      <w:r>
        <w:rPr>
          <w:sz w:val="28"/>
          <w:szCs w:val="28"/>
        </w:rPr>
        <w:t>skaidrošanu’’</w:t>
      </w:r>
      <w:r>
        <w:rPr>
          <w:rStyle w:val="FootnoteReference"/>
          <w:sz w:val="28"/>
          <w:szCs w:val="28"/>
        </w:rPr>
        <w:footnoteReference w:id="14"/>
      </w:r>
      <w:r>
        <w:rPr>
          <w:sz w:val="28"/>
          <w:szCs w:val="28"/>
        </w:rPr>
        <w:t xml:space="preserve"> un citus apstākļus</w:t>
      </w:r>
      <w:r w:rsidRPr="00F45420">
        <w:rPr>
          <w:sz w:val="28"/>
          <w:szCs w:val="28"/>
        </w:rPr>
        <w:t>.</w:t>
      </w:r>
      <w:r w:rsidRPr="001B2197">
        <w:rPr>
          <w:sz w:val="28"/>
          <w:szCs w:val="28"/>
        </w:rPr>
        <w:t xml:space="preserve"> </w:t>
      </w:r>
    </w:p>
    <w:p w:rsidR="007A0BB2" w:rsidRPr="001B2197" w:rsidRDefault="007A0BB2" w:rsidP="007A0BB2">
      <w:pPr>
        <w:ind w:firstLine="720"/>
        <w:jc w:val="both"/>
        <w:rPr>
          <w:sz w:val="28"/>
          <w:szCs w:val="28"/>
        </w:rPr>
      </w:pPr>
      <w:r w:rsidRPr="001B2197">
        <w:rPr>
          <w:sz w:val="28"/>
          <w:szCs w:val="28"/>
        </w:rPr>
        <w:t xml:space="preserve">Kā redzams no iepriekš minētā lēmuma, tiesa nav paudusi savu viedokli un argumentāciju par to, kas būtu tie apstākļi, kas </w:t>
      </w:r>
      <w:r>
        <w:rPr>
          <w:sz w:val="28"/>
          <w:szCs w:val="28"/>
        </w:rPr>
        <w:t>būtu balstīti uz pierādījumiem un</w:t>
      </w:r>
      <w:r w:rsidRPr="001B2197">
        <w:rPr>
          <w:sz w:val="28"/>
          <w:szCs w:val="28"/>
        </w:rPr>
        <w:t xml:space="preserve"> tiesai </w:t>
      </w:r>
      <w:r>
        <w:rPr>
          <w:sz w:val="28"/>
          <w:szCs w:val="28"/>
        </w:rPr>
        <w:t xml:space="preserve">būtu </w:t>
      </w:r>
      <w:r w:rsidRPr="001B2197">
        <w:rPr>
          <w:sz w:val="28"/>
          <w:szCs w:val="28"/>
        </w:rPr>
        <w:t>pa</w:t>
      </w:r>
      <w:r>
        <w:rPr>
          <w:sz w:val="28"/>
          <w:szCs w:val="28"/>
        </w:rPr>
        <w:t>mats</w:t>
      </w:r>
      <w:r w:rsidRPr="001B2197">
        <w:rPr>
          <w:sz w:val="28"/>
          <w:szCs w:val="28"/>
        </w:rPr>
        <w:t xml:space="preserve"> piemērot apcietinājumu. Līdz ar to </w:t>
      </w:r>
      <w:r>
        <w:rPr>
          <w:sz w:val="28"/>
          <w:szCs w:val="28"/>
        </w:rPr>
        <w:t>autors uzskata</w:t>
      </w:r>
      <w:r w:rsidRPr="001B2197">
        <w:rPr>
          <w:sz w:val="28"/>
          <w:szCs w:val="28"/>
        </w:rPr>
        <w:t xml:space="preserve">, ka aizdomās turētajai personai ir bijušas liegtas tiesības uz taisnīgu un objektīvu tiesu, </w:t>
      </w:r>
      <w:r>
        <w:rPr>
          <w:sz w:val="28"/>
          <w:szCs w:val="28"/>
        </w:rPr>
        <w:t xml:space="preserve">kā to nosaka KPL 15.pants. Konvencijas    </w:t>
      </w:r>
      <w:r w:rsidRPr="001B2197">
        <w:rPr>
          <w:sz w:val="28"/>
          <w:szCs w:val="28"/>
        </w:rPr>
        <w:t xml:space="preserve">6.pantā – tiesības uz lietas taisnīgu izskatīšanu, ir noteikts, ka 1. ‘’ </w:t>
      </w:r>
      <w:r w:rsidRPr="0023304B">
        <w:rPr>
          <w:sz w:val="28"/>
          <w:szCs w:val="28"/>
        </w:rPr>
        <w:t>Ikvienam ir tiesības, nosakot civilo tiesību un pienākumu vai viņam izvirzītās apsūdzības krimināllietā pamatotību, uz taisnīgu un atklātu lietas savlaicīgu izskatīšanu neatkarīgā un objekt</w:t>
      </w:r>
      <w:r>
        <w:rPr>
          <w:sz w:val="28"/>
          <w:szCs w:val="28"/>
        </w:rPr>
        <w:t xml:space="preserve">īvā ar likumu noteiktā tiesā.’’ </w:t>
      </w:r>
      <w:r w:rsidRPr="001B2197">
        <w:rPr>
          <w:sz w:val="28"/>
          <w:szCs w:val="28"/>
        </w:rPr>
        <w:t xml:space="preserve">Tiesības uz lietas taisnīgu  izskatīšanu ietver arī tiesības uz pamatotu spriedumu (lēmumu). </w:t>
      </w:r>
    </w:p>
    <w:p w:rsidR="007A0BB2" w:rsidRPr="001B2197" w:rsidRDefault="007A0BB2" w:rsidP="007A0BB2">
      <w:pPr>
        <w:ind w:firstLine="720"/>
        <w:jc w:val="both"/>
        <w:rPr>
          <w:sz w:val="28"/>
          <w:szCs w:val="28"/>
          <w:u w:val="single"/>
        </w:rPr>
      </w:pPr>
      <w:r w:rsidRPr="001B2197">
        <w:rPr>
          <w:sz w:val="28"/>
          <w:szCs w:val="28"/>
        </w:rPr>
        <w:t>Eiropas cilvēktiesību tiesa</w:t>
      </w:r>
      <w:r>
        <w:rPr>
          <w:sz w:val="28"/>
          <w:szCs w:val="28"/>
        </w:rPr>
        <w:t>, turpmāk tekstā ECTT,</w:t>
      </w:r>
      <w:r w:rsidRPr="001B2197">
        <w:rPr>
          <w:sz w:val="28"/>
          <w:szCs w:val="28"/>
        </w:rPr>
        <w:t xml:space="preserve"> ir uzsvērusi, ‘’ka tiesības uz taisnīgu tiesu saturā ir iekļauts pienākums tiesām pietiekami precīzi norādīt argumentus, ar kuriem tās pamato savu pieņemto lēmumu. Tāpat tiesai ir atbilstoši jāizvērtē pušu iesniegtie paskaidrojumi, argumenti un pierādījumi, neskatoties uz to, vai tie būs nepieciešami pieņemtā lēmuma pamatošanai.’’ Bez tam, ‘’pušu iesniegtu argumentu neizvērtēšana, kas, ja atzīti par dibinātiem, varētu novest pie citādāka, attiecīgai pusei labvēlīgāka rezultāta, ir tiesības uz taisnīgu tiesu pārkāpums.’’</w:t>
      </w:r>
      <w:r w:rsidRPr="001B2197">
        <w:rPr>
          <w:rStyle w:val="FootnoteReference"/>
          <w:sz w:val="28"/>
          <w:szCs w:val="28"/>
        </w:rPr>
        <w:footnoteReference w:id="15"/>
      </w:r>
    </w:p>
    <w:p w:rsidR="007A0BB2" w:rsidRPr="00A75E09" w:rsidRDefault="007A0BB2" w:rsidP="007A0BB2">
      <w:pPr>
        <w:ind w:firstLine="720"/>
        <w:jc w:val="both"/>
        <w:rPr>
          <w:sz w:val="28"/>
          <w:szCs w:val="28"/>
        </w:rPr>
      </w:pPr>
      <w:r w:rsidRPr="00A75E09">
        <w:rPr>
          <w:sz w:val="28"/>
          <w:szCs w:val="28"/>
        </w:rPr>
        <w:t xml:space="preserve">Izmaiņu nepieciešamību, kas attiecas uz KPL  245.p.1.d., autora skatījumā veicina arī  tiesību ekspertu  sniegtie viedokļi par tiesas tendenci neargumentēt savus pieņemtos lēmumus: </w:t>
      </w:r>
    </w:p>
    <w:p w:rsidR="007A0BB2" w:rsidRPr="001B2197" w:rsidRDefault="007A0BB2" w:rsidP="007A0BB2">
      <w:pPr>
        <w:jc w:val="both"/>
        <w:rPr>
          <w:sz w:val="28"/>
          <w:szCs w:val="28"/>
        </w:rPr>
      </w:pPr>
      <w:r w:rsidRPr="00A75E09">
        <w:rPr>
          <w:sz w:val="28"/>
          <w:szCs w:val="28"/>
        </w:rPr>
        <w:t>Eiropa</w:t>
      </w:r>
      <w:r>
        <w:rPr>
          <w:sz w:val="28"/>
          <w:szCs w:val="28"/>
        </w:rPr>
        <w:t>s Cilvēktiesību tiesas tiesnese</w:t>
      </w:r>
      <w:r w:rsidRPr="00A75E09">
        <w:rPr>
          <w:sz w:val="28"/>
          <w:szCs w:val="28"/>
        </w:rPr>
        <w:t xml:space="preserve"> Dr.iur. Ineta Ziemele</w:t>
      </w:r>
      <w:r w:rsidRPr="001B2197">
        <w:rPr>
          <w:sz w:val="28"/>
          <w:szCs w:val="28"/>
        </w:rPr>
        <w:t xml:space="preserve">  </w:t>
      </w:r>
      <w:r>
        <w:rPr>
          <w:sz w:val="28"/>
          <w:szCs w:val="28"/>
        </w:rPr>
        <w:t>ir norādījusi, ka kopš Latvija ir K</w:t>
      </w:r>
      <w:r w:rsidRPr="001B2197">
        <w:rPr>
          <w:sz w:val="28"/>
          <w:szCs w:val="28"/>
        </w:rPr>
        <w:t>onvencijas sistēmas dalībniece tiesa ir taisījusi nolēmumus lietās, kur sūdzī</w:t>
      </w:r>
      <w:r>
        <w:rPr>
          <w:sz w:val="28"/>
          <w:szCs w:val="28"/>
        </w:rPr>
        <w:t xml:space="preserve">bas ir tikušas iesniegtas par </w:t>
      </w:r>
      <w:r w:rsidRPr="001B2197">
        <w:rPr>
          <w:sz w:val="28"/>
          <w:szCs w:val="28"/>
        </w:rPr>
        <w:t>apcietinājuma kā tiesas pie</w:t>
      </w:r>
      <w:r>
        <w:rPr>
          <w:sz w:val="28"/>
          <w:szCs w:val="28"/>
        </w:rPr>
        <w:t>mērotā drošības līdzekļa termiņu</w:t>
      </w:r>
      <w:r w:rsidRPr="001B2197">
        <w:rPr>
          <w:sz w:val="28"/>
          <w:szCs w:val="28"/>
        </w:rPr>
        <w:t xml:space="preserve"> un šī piemērotā drošības līdzekļa pagarināšanas motivācijas problēmām (spriedumi lietās Lavents pret Latviju </w:t>
      </w:r>
      <w:smartTag w:uri="schemas-tilde-lv/tildestengine" w:element="date">
        <w:smartTagPr>
          <w:attr w:name="Day" w:val="28"/>
          <w:attr w:name="Month" w:val="11"/>
          <w:attr w:name="Year" w:val="2002"/>
        </w:smartTagPr>
        <w:r w:rsidRPr="001B2197">
          <w:rPr>
            <w:sz w:val="28"/>
            <w:szCs w:val="28"/>
          </w:rPr>
          <w:t>28.11.2002</w:t>
        </w:r>
      </w:smartTag>
      <w:r w:rsidRPr="001B2197">
        <w:rPr>
          <w:sz w:val="28"/>
          <w:szCs w:val="28"/>
        </w:rPr>
        <w:t>., Freimanis</w:t>
      </w:r>
      <w:r>
        <w:rPr>
          <w:sz w:val="28"/>
          <w:szCs w:val="28"/>
        </w:rPr>
        <w:t xml:space="preserve"> un Līdums pret Latviju, </w:t>
      </w:r>
      <w:r w:rsidRPr="001B2197">
        <w:rPr>
          <w:sz w:val="28"/>
          <w:szCs w:val="28"/>
        </w:rPr>
        <w:t>Svipsta pret Latviju</w:t>
      </w:r>
      <w:r>
        <w:rPr>
          <w:sz w:val="28"/>
          <w:szCs w:val="28"/>
        </w:rPr>
        <w:t xml:space="preserve"> 2006.</w:t>
      </w:r>
      <w:r w:rsidRPr="001B2197">
        <w:rPr>
          <w:sz w:val="28"/>
          <w:szCs w:val="28"/>
        </w:rPr>
        <w:t xml:space="preserve">, Kornakovs pret Latviju </w:t>
      </w:r>
      <w:smartTag w:uri="schemas-tilde-lv/tildestengine" w:element="date">
        <w:smartTagPr>
          <w:attr w:name="Day" w:val="15"/>
          <w:attr w:name="Month" w:val="6"/>
          <w:attr w:name="Year" w:val="2006"/>
        </w:smartTagPr>
        <w:r w:rsidRPr="001B2197">
          <w:rPr>
            <w:sz w:val="28"/>
            <w:szCs w:val="28"/>
          </w:rPr>
          <w:t>15.06.2006</w:t>
        </w:r>
      </w:smartTag>
      <w:r w:rsidRPr="001B2197">
        <w:rPr>
          <w:sz w:val="28"/>
          <w:szCs w:val="28"/>
        </w:rPr>
        <w:t xml:space="preserve">., Estrikh pret Latviju </w:t>
      </w:r>
      <w:smartTag w:uri="schemas-tilde-lv/tildestengine" w:element="date">
        <w:smartTagPr>
          <w:attr w:name="Day" w:val="1"/>
          <w:attr w:name="Month" w:val="2"/>
          <w:attr w:name="Year" w:val="2007"/>
        </w:smartTagPr>
        <w:r w:rsidRPr="001B2197">
          <w:rPr>
            <w:sz w:val="28"/>
            <w:szCs w:val="28"/>
          </w:rPr>
          <w:t>01.02.2007</w:t>
        </w:r>
      </w:smartTag>
      <w:r>
        <w:rPr>
          <w:sz w:val="28"/>
          <w:szCs w:val="28"/>
        </w:rPr>
        <w:t>., Čistiakova lieta</w:t>
      </w:r>
      <w:r w:rsidRPr="001B2197">
        <w:rPr>
          <w:sz w:val="28"/>
          <w:szCs w:val="28"/>
        </w:rPr>
        <w:t>)</w:t>
      </w:r>
      <w:r>
        <w:rPr>
          <w:sz w:val="28"/>
          <w:szCs w:val="28"/>
        </w:rPr>
        <w:t xml:space="preserve">. </w:t>
      </w:r>
      <w:r w:rsidRPr="001B2197">
        <w:rPr>
          <w:sz w:val="28"/>
          <w:szCs w:val="28"/>
        </w:rPr>
        <w:t>Tiesnese</w:t>
      </w:r>
      <w:r>
        <w:rPr>
          <w:sz w:val="28"/>
          <w:szCs w:val="28"/>
        </w:rPr>
        <w:t>,</w:t>
      </w:r>
      <w:r w:rsidRPr="001B2197">
        <w:rPr>
          <w:sz w:val="28"/>
          <w:szCs w:val="28"/>
        </w:rPr>
        <w:t xml:space="preserve"> komentējot dažus spriedumus </w:t>
      </w:r>
      <w:r w:rsidRPr="001B2197">
        <w:rPr>
          <w:sz w:val="28"/>
          <w:szCs w:val="28"/>
        </w:rPr>
        <w:lastRenderedPageBreak/>
        <w:t>norāda, piemēram, Estrikha lietā apstākļos, kad prasītājs nepārsūdzēja</w:t>
      </w:r>
      <w:r>
        <w:rPr>
          <w:sz w:val="28"/>
          <w:szCs w:val="28"/>
        </w:rPr>
        <w:t xml:space="preserve"> pirmās instances tiesas lēmumu</w:t>
      </w:r>
      <w:r w:rsidRPr="001B2197">
        <w:rPr>
          <w:sz w:val="28"/>
          <w:szCs w:val="28"/>
        </w:rPr>
        <w:t xml:space="preserve"> par apcietinājuma piemērošanu Rīgas apgabaltiesā, tiesa konstatēja, ka : ‘’Tiesa ir skatījusi vairākas lietas pret Latviju, kurās prasītāj</w:t>
      </w:r>
      <w:r>
        <w:rPr>
          <w:sz w:val="28"/>
          <w:szCs w:val="28"/>
        </w:rPr>
        <w:t xml:space="preserve">i atbilstoši KPK 222.-1.pantam </w:t>
      </w:r>
      <w:r w:rsidRPr="001B2197">
        <w:rPr>
          <w:sz w:val="28"/>
          <w:szCs w:val="28"/>
        </w:rPr>
        <w:t>izmantoja pārsūdzības mehānismu (</w:t>
      </w:r>
      <w:r w:rsidRPr="007958AB">
        <w:rPr>
          <w:sz w:val="28"/>
          <w:szCs w:val="28"/>
        </w:rPr>
        <w:t>sk. mutatis mutandis, Lavents, Freimanis un Līdums, Svipsta, Moisejevs un Kornakova lietas) Visās</w:t>
      </w:r>
      <w:r>
        <w:rPr>
          <w:sz w:val="28"/>
          <w:szCs w:val="28"/>
        </w:rPr>
        <w:t xml:space="preserve"> šajās lietās tiesa konstatēja Konvencijas 5.panta 3.daļas</w:t>
      </w:r>
      <w:r w:rsidRPr="001B2197">
        <w:rPr>
          <w:sz w:val="28"/>
          <w:szCs w:val="28"/>
        </w:rPr>
        <w:t xml:space="preserve"> pārkāpumu tajā apstāklī, ka </w:t>
      </w:r>
      <w:r w:rsidRPr="001B2197">
        <w:rPr>
          <w:i/>
          <w:sz w:val="28"/>
          <w:szCs w:val="28"/>
        </w:rPr>
        <w:t xml:space="preserve">inter alia, </w:t>
      </w:r>
      <w:r w:rsidRPr="001B2197">
        <w:rPr>
          <w:sz w:val="28"/>
          <w:szCs w:val="28"/>
        </w:rPr>
        <w:t xml:space="preserve">visa apcietinājuma periodā garumā apelācijas tiesa pieturējās pie tiem pašiem formālajiem apcietinājuma kritērijiem, nepaskaidrojot to konkrēto piemērošanu </w:t>
      </w:r>
      <w:r>
        <w:rPr>
          <w:sz w:val="28"/>
          <w:szCs w:val="28"/>
        </w:rPr>
        <w:t xml:space="preserve">attiecīgo lietu apstākļos.’’ </w:t>
      </w:r>
      <w:r w:rsidRPr="001B2197">
        <w:rPr>
          <w:sz w:val="28"/>
          <w:szCs w:val="28"/>
        </w:rPr>
        <w:t>Tiesnese atsaucoties uz Estrikha lietu</w:t>
      </w:r>
      <w:r>
        <w:rPr>
          <w:sz w:val="28"/>
          <w:szCs w:val="28"/>
        </w:rPr>
        <w:t>,  norādīja ‘’apzinoties</w:t>
      </w:r>
      <w:r w:rsidRPr="001B2197">
        <w:rPr>
          <w:sz w:val="28"/>
          <w:szCs w:val="28"/>
        </w:rPr>
        <w:t>, ka notikumi šajā un līdzīgās lietās risinājās zināmā laika posmā, tiesa tomēr izlēm</w:t>
      </w:r>
      <w:r>
        <w:rPr>
          <w:sz w:val="28"/>
          <w:szCs w:val="28"/>
        </w:rPr>
        <w:t>a norādīt un atgādināt Latvijai</w:t>
      </w:r>
      <w:r w:rsidRPr="001B2197">
        <w:rPr>
          <w:sz w:val="28"/>
          <w:szCs w:val="28"/>
        </w:rPr>
        <w:t>, ka salīdzinoši lielais skaits spriedumu pret Latviju ar pārkāpuma konstatāciju sakarā ar apcietinājuma piemērošanu un tā pagarināšanu norāda uz strukturālu problēmu valstī. Tagad būs jāskatās un jāvērtē jaunais KPL darbībā.’’</w:t>
      </w:r>
      <w:r w:rsidRPr="001B2197">
        <w:rPr>
          <w:rStyle w:val="FootnoteReference"/>
          <w:sz w:val="28"/>
          <w:szCs w:val="28"/>
        </w:rPr>
        <w:footnoteReference w:id="16"/>
      </w:r>
    </w:p>
    <w:p w:rsidR="007A0BB2" w:rsidRPr="001B2197" w:rsidRDefault="007A0BB2" w:rsidP="007A0BB2">
      <w:pPr>
        <w:ind w:firstLine="720"/>
        <w:jc w:val="both"/>
        <w:rPr>
          <w:sz w:val="28"/>
          <w:szCs w:val="28"/>
        </w:rPr>
      </w:pPr>
      <w:r>
        <w:rPr>
          <w:sz w:val="28"/>
          <w:szCs w:val="28"/>
        </w:rPr>
        <w:t xml:space="preserve">Valsts Cilvēktiesību birojs (turpmāk -VCB, tagad-Tiesībsargs, </w:t>
      </w:r>
      <w:r w:rsidRPr="001B2197">
        <w:rPr>
          <w:sz w:val="28"/>
          <w:szCs w:val="28"/>
        </w:rPr>
        <w:t>komentējot spriedumu ‘’Lavents pret Latviju’’</w:t>
      </w:r>
      <w:r>
        <w:rPr>
          <w:sz w:val="28"/>
          <w:szCs w:val="28"/>
        </w:rPr>
        <w:t>, norāda, ka</w:t>
      </w:r>
      <w:r w:rsidRPr="001B2197">
        <w:rPr>
          <w:sz w:val="28"/>
          <w:szCs w:val="28"/>
        </w:rPr>
        <w:t xml:space="preserve">  ECT ir atzinusi, ka ir pārkāpts ECT konvencijas 5.p.3.punkts, jo pirmstiesas apcietinājuma termiņš ir bijis pārāk ilgs un </w:t>
      </w:r>
      <w:r w:rsidRPr="002004DC">
        <w:rPr>
          <w:sz w:val="28"/>
          <w:szCs w:val="28"/>
        </w:rPr>
        <w:t>arī tāpēc,</w:t>
      </w:r>
      <w:r w:rsidRPr="001B2197">
        <w:rPr>
          <w:sz w:val="28"/>
          <w:szCs w:val="28"/>
        </w:rPr>
        <w:t xml:space="preserve"> ka lēmumu par apcietinājuma termiņa pagarinājumu ir bijuši ļoti abstrakti, atkārtojot galvenokārt likuma noteikumus, nevis norādot individuālus iemeslus šī drošības līdz</w:t>
      </w:r>
      <w:r>
        <w:rPr>
          <w:sz w:val="28"/>
          <w:szCs w:val="28"/>
        </w:rPr>
        <w:t>ekļa piemērošanas nepieciešamībai</w:t>
      </w:r>
      <w:r w:rsidRPr="001B2197">
        <w:rPr>
          <w:sz w:val="28"/>
          <w:szCs w:val="28"/>
        </w:rPr>
        <w:t>.</w:t>
      </w:r>
      <w:r>
        <w:rPr>
          <w:sz w:val="28"/>
          <w:szCs w:val="28"/>
        </w:rPr>
        <w:t xml:space="preserve"> </w:t>
      </w:r>
      <w:r w:rsidRPr="001B2197">
        <w:rPr>
          <w:sz w:val="28"/>
          <w:szCs w:val="28"/>
        </w:rPr>
        <w:t>VCB norāda, ka Latvijā apcietinājums kā drošības līdzeklis tiek piemē</w:t>
      </w:r>
      <w:r>
        <w:rPr>
          <w:sz w:val="28"/>
          <w:szCs w:val="28"/>
        </w:rPr>
        <w:t>rots pārāk vieglprātīgi. ECT ir konstatējusi</w:t>
      </w:r>
      <w:r w:rsidRPr="001B2197">
        <w:rPr>
          <w:sz w:val="28"/>
          <w:szCs w:val="28"/>
        </w:rPr>
        <w:t>, ka tiesu lēmumi par apcietinājuma piemērošanu ir ļoti vispārīgi. Kā pamats apcietinājuma piemērošanai parasti tiek norādīts, ka pe</w:t>
      </w:r>
      <w:r>
        <w:rPr>
          <w:sz w:val="28"/>
          <w:szCs w:val="28"/>
        </w:rPr>
        <w:t>rsona traucēs lietas izmeklēšanai un patiesības noskaidrošanai</w:t>
      </w:r>
      <w:r w:rsidRPr="001B2197">
        <w:rPr>
          <w:sz w:val="28"/>
          <w:szCs w:val="28"/>
        </w:rPr>
        <w:t xml:space="preserve"> vai izdarīs jaunus noziedzīgus nodarījumus. Taču tiesa ļoti reti norāda, kas konkrēti šajā gadījumā liecina, ka persona traucēs, izvairīsies vai izdarīs jaunu noziegumu. Varbūt šādi apstākļi tiešām pastāv, bet lēmumā tas netiek atspoguļots, un Laventa gadījums ša</w:t>
      </w:r>
      <w:r>
        <w:rPr>
          <w:sz w:val="28"/>
          <w:szCs w:val="28"/>
        </w:rPr>
        <w:t>jā ziņā nav vienīgais. VCB norāda, ka</w:t>
      </w:r>
      <w:r w:rsidRPr="001B2197">
        <w:rPr>
          <w:sz w:val="28"/>
          <w:szCs w:val="28"/>
        </w:rPr>
        <w:t xml:space="preserve"> no kādas  tiesas 30 lēmumiem par</w:t>
      </w:r>
      <w:r>
        <w:rPr>
          <w:sz w:val="28"/>
          <w:szCs w:val="28"/>
        </w:rPr>
        <w:t xml:space="preserve"> apcietinājumu, </w:t>
      </w:r>
      <w:r w:rsidRPr="001B2197">
        <w:rPr>
          <w:sz w:val="28"/>
          <w:szCs w:val="28"/>
        </w:rPr>
        <w:t>tikai vienā lēmumā tika no</w:t>
      </w:r>
      <w:r>
        <w:rPr>
          <w:sz w:val="28"/>
          <w:szCs w:val="28"/>
        </w:rPr>
        <w:t>rādīti individuāli apstākļi, kas</w:t>
      </w:r>
      <w:r w:rsidRPr="001B2197">
        <w:rPr>
          <w:sz w:val="28"/>
          <w:szCs w:val="28"/>
        </w:rPr>
        <w:t xml:space="preserve"> liecina, ka Laventa gadījums nav viena atse</w:t>
      </w:r>
      <w:r>
        <w:rPr>
          <w:sz w:val="28"/>
          <w:szCs w:val="28"/>
        </w:rPr>
        <w:t>višķa kļūda. T</w:t>
      </w:r>
      <w:r w:rsidRPr="001B2197">
        <w:rPr>
          <w:sz w:val="28"/>
          <w:szCs w:val="28"/>
        </w:rPr>
        <w:t>iesnešiem ir jāapzinās, ka apcietinājums ir galējs līdzeklis un to var piemērot tikai tad, ja ir pamatoti iemesli un citi drošības līdzekļi nav pietiekami. Un, jo ilgāk apcietinājums tiek piemērots, jo nopietnākiem ir jābūt iemesliem. Ja sākotnēji var pietikt ar to, ka persona tiek turēta aizdomās par smaga nozieguma izdarīšanu, tad vēlāk jau ir nepieciešami arī citi apstākļi, kas pierādītu, ka ir nepieciešams drošības līdzeklis un tam jābūt tieši apcietinājumam.’’</w:t>
      </w:r>
      <w:r w:rsidRPr="001B2197">
        <w:rPr>
          <w:rStyle w:val="FootnoteReference"/>
          <w:sz w:val="28"/>
          <w:szCs w:val="28"/>
        </w:rPr>
        <w:footnoteReference w:id="17"/>
      </w:r>
    </w:p>
    <w:p w:rsidR="007A0BB2" w:rsidRPr="005B596B" w:rsidRDefault="007A0BB2" w:rsidP="007A0BB2">
      <w:pPr>
        <w:ind w:firstLine="720"/>
        <w:jc w:val="both"/>
        <w:rPr>
          <w:sz w:val="28"/>
          <w:szCs w:val="28"/>
        </w:rPr>
      </w:pPr>
      <w:r w:rsidRPr="00CB39D1">
        <w:rPr>
          <w:sz w:val="28"/>
          <w:szCs w:val="28"/>
        </w:rPr>
        <w:lastRenderedPageBreak/>
        <w:t>LU Juridiskās fakul</w:t>
      </w:r>
      <w:r>
        <w:rPr>
          <w:sz w:val="28"/>
          <w:szCs w:val="28"/>
        </w:rPr>
        <w:t>tātes lektore Dr.i</w:t>
      </w:r>
      <w:r w:rsidRPr="00CB39D1">
        <w:rPr>
          <w:sz w:val="28"/>
          <w:szCs w:val="28"/>
        </w:rPr>
        <w:t xml:space="preserve">ur. </w:t>
      </w:r>
      <w:r>
        <w:rPr>
          <w:sz w:val="28"/>
          <w:szCs w:val="28"/>
        </w:rPr>
        <w:t xml:space="preserve">Jautrīte Briede, tagad - </w:t>
      </w:r>
      <w:r w:rsidRPr="00CB39D1">
        <w:rPr>
          <w:sz w:val="28"/>
          <w:szCs w:val="28"/>
        </w:rPr>
        <w:t>AT Senāta Administrat</w:t>
      </w:r>
      <w:r>
        <w:rPr>
          <w:sz w:val="28"/>
          <w:szCs w:val="28"/>
        </w:rPr>
        <w:t>īvo lietu departamenta senatore,</w:t>
      </w:r>
      <w:r w:rsidRPr="001B2197">
        <w:rPr>
          <w:sz w:val="28"/>
          <w:szCs w:val="28"/>
        </w:rPr>
        <w:t xml:space="preserve"> komentējot spriedumu ‘’Lavents pret Latviju’’ ir norādījusi : Laventa vairākkārtīgie lūgumi viņu atbrīvot tika noraidīti. ECT secināja, ka tas noticis diezgan virspusēji, atsaucoties tikai uz KL pantiem, kas liek domāt, ka tiesa Laventa argumentos pēc būtības nav iedziļinājies.</w:t>
      </w:r>
      <w:r>
        <w:rPr>
          <w:sz w:val="28"/>
          <w:szCs w:val="28"/>
        </w:rPr>
        <w:t xml:space="preserve"> </w:t>
      </w:r>
      <w:r w:rsidRPr="001B2197">
        <w:rPr>
          <w:sz w:val="28"/>
          <w:szCs w:val="28"/>
        </w:rPr>
        <w:t xml:space="preserve">Jau savos iepriekšējos nolēmumos ECT ir norādījusi, ka katra cilvēka brīvības ierobežojumi ir jāvērtē ļoti rūpīgi. Piemēram, lietā </w:t>
      </w:r>
      <w:r w:rsidRPr="00CB39D1">
        <w:rPr>
          <w:sz w:val="28"/>
          <w:szCs w:val="28"/>
        </w:rPr>
        <w:t>Labita pret Itāliju uzsvērts, ka brīvības ierobežošana nevar tikt vērtēta abstrakti (in abstractio). K</w:t>
      </w:r>
      <w:r w:rsidRPr="001B2197">
        <w:rPr>
          <w:sz w:val="28"/>
          <w:szCs w:val="28"/>
        </w:rPr>
        <w:t>atrs atsevišķs gadījums jāvērtē atsevišķi. Apcietinājuma pagarināšana ir attaisnojam tikai tad, ja to prasa sabiedrības intereses, kuras ir svarīgākas par indivīda br</w:t>
      </w:r>
      <w:r>
        <w:rPr>
          <w:sz w:val="28"/>
          <w:szCs w:val="28"/>
        </w:rPr>
        <w:t xml:space="preserve">īvību. Tiesai jāvērtē vai </w:t>
      </w:r>
      <w:r w:rsidRPr="001B2197">
        <w:rPr>
          <w:sz w:val="28"/>
          <w:szCs w:val="28"/>
        </w:rPr>
        <w:t xml:space="preserve"> apcietinājums nav pārāk ilgs, tāpēc tai jāņem vērā visi apstākļi, tai skaitā nevainīguma prezumpcija. Ļoti svarīgi, lai tiesa savā lēmumā dotu pamatojumu, kāpēc palikšana apcietinājumā ir nepieciešama sabiedrības interesēs un kāpēc indivīda iesniegt</w:t>
      </w:r>
      <w:r>
        <w:rPr>
          <w:sz w:val="28"/>
          <w:szCs w:val="28"/>
        </w:rPr>
        <w:t>ie argumenti netiek ņemti vērā. L</w:t>
      </w:r>
      <w:r w:rsidRPr="001B2197">
        <w:rPr>
          <w:sz w:val="28"/>
          <w:szCs w:val="28"/>
        </w:rPr>
        <w:t>īdzīgi secinājumi</w:t>
      </w:r>
      <w:r>
        <w:rPr>
          <w:sz w:val="28"/>
          <w:szCs w:val="28"/>
        </w:rPr>
        <w:t xml:space="preserve"> izteikti</w:t>
      </w:r>
      <w:r w:rsidRPr="001B2197">
        <w:rPr>
          <w:sz w:val="28"/>
          <w:szCs w:val="28"/>
        </w:rPr>
        <w:t xml:space="preserve"> arī lietā </w:t>
      </w:r>
      <w:r w:rsidRPr="005B596B">
        <w:rPr>
          <w:sz w:val="28"/>
          <w:szCs w:val="28"/>
        </w:rPr>
        <w:t xml:space="preserve">Muller pret Franciju. </w:t>
      </w:r>
      <w:r w:rsidRPr="001B2197">
        <w:rPr>
          <w:sz w:val="28"/>
          <w:szCs w:val="28"/>
        </w:rPr>
        <w:t>Citā lietā, kas ir minēta Laventa spri</w:t>
      </w:r>
      <w:r>
        <w:rPr>
          <w:sz w:val="28"/>
          <w:szCs w:val="28"/>
        </w:rPr>
        <w:t>edumā, Kudla pret Poliju,</w:t>
      </w:r>
      <w:r w:rsidRPr="001B2197">
        <w:rPr>
          <w:sz w:val="28"/>
          <w:szCs w:val="28"/>
        </w:rPr>
        <w:t xml:space="preserve"> ECT ir noteikusi: pat, ja persona tiek turēta apcietinājumā pilnīgi pamatoti, pēc kāda laika šis pamats var zust, tāpēc tiesai jāpārbauda, vai sākotnējais pamatojums ir pietiekams, lai personai joprojām ierobežotu brīvību. ECT uzskata, ka Latvijas tiesa lietai piegājusi pavirši un iepriekš minētos argumentus nav analizējusi. Tāpēc tā uz</w:t>
      </w:r>
      <w:r>
        <w:rPr>
          <w:sz w:val="28"/>
          <w:szCs w:val="28"/>
        </w:rPr>
        <w:t>skata, ka Latvija ir pārkāpusi K</w:t>
      </w:r>
      <w:r w:rsidRPr="001B2197">
        <w:rPr>
          <w:sz w:val="28"/>
          <w:szCs w:val="28"/>
        </w:rPr>
        <w:t>onvencijas 5.p.3.d.’’</w:t>
      </w:r>
      <w:r w:rsidRPr="001B2197">
        <w:rPr>
          <w:rStyle w:val="FootnoteReference"/>
          <w:sz w:val="28"/>
          <w:szCs w:val="28"/>
        </w:rPr>
        <w:footnoteReference w:id="18"/>
      </w:r>
    </w:p>
    <w:p w:rsidR="007A0BB2" w:rsidRPr="005B596B" w:rsidRDefault="007A0BB2" w:rsidP="007A0BB2">
      <w:pPr>
        <w:ind w:firstLine="720"/>
        <w:jc w:val="both"/>
        <w:rPr>
          <w:sz w:val="28"/>
          <w:szCs w:val="28"/>
        </w:rPr>
      </w:pPr>
      <w:r>
        <w:rPr>
          <w:sz w:val="28"/>
          <w:szCs w:val="28"/>
        </w:rPr>
        <w:t>Sabiedriskās politikas centra ‘’Providus’’</w:t>
      </w:r>
      <w:r w:rsidRPr="005B596B">
        <w:rPr>
          <w:sz w:val="28"/>
          <w:szCs w:val="28"/>
        </w:rPr>
        <w:t xml:space="preserve"> pētnieks, krimi</w:t>
      </w:r>
      <w:r>
        <w:rPr>
          <w:sz w:val="28"/>
          <w:szCs w:val="28"/>
        </w:rPr>
        <w:t xml:space="preserve">nāltiesību speciālists </w:t>
      </w:r>
      <w:r w:rsidRPr="005B596B">
        <w:rPr>
          <w:sz w:val="28"/>
          <w:szCs w:val="28"/>
        </w:rPr>
        <w:t xml:space="preserve">Andrejs Judins, </w:t>
      </w:r>
      <w:r>
        <w:rPr>
          <w:sz w:val="28"/>
          <w:szCs w:val="28"/>
        </w:rPr>
        <w:t>ir norādījis</w:t>
      </w:r>
      <w:r w:rsidRPr="005B596B">
        <w:rPr>
          <w:sz w:val="28"/>
          <w:szCs w:val="28"/>
        </w:rPr>
        <w:t>, ka ‘’apcietinājuma būtības izpratnē un piemērošanā joprojām pastāv nopietnas problēmas, ko apliecina arī nesen veiktais pētījums ’’Apcietinājuma piemērošanas tiesiskums: nacionālā un Eiropas Cilvēktiesību tiesas jaunākā prakse’’, ko veikušas Rīgas Juridiskās augstskolas maģistres A.T</w:t>
      </w:r>
      <w:r>
        <w:rPr>
          <w:sz w:val="28"/>
          <w:szCs w:val="28"/>
        </w:rPr>
        <w:t>a</w:t>
      </w:r>
      <w:r w:rsidRPr="005B596B">
        <w:rPr>
          <w:sz w:val="28"/>
          <w:szCs w:val="28"/>
        </w:rPr>
        <w:t xml:space="preserve">llija un I.Kalniņa </w:t>
      </w:r>
    </w:p>
    <w:p w:rsidR="007A0BB2" w:rsidRPr="001B2197" w:rsidRDefault="007A0BB2" w:rsidP="007A0BB2">
      <w:pPr>
        <w:jc w:val="both"/>
        <w:rPr>
          <w:sz w:val="28"/>
          <w:szCs w:val="28"/>
        </w:rPr>
      </w:pPr>
      <w:r>
        <w:rPr>
          <w:sz w:val="28"/>
          <w:szCs w:val="28"/>
        </w:rPr>
        <w:tab/>
        <w:t>Gan LR Satversme</w:t>
      </w:r>
      <w:r w:rsidRPr="001B2197">
        <w:rPr>
          <w:sz w:val="28"/>
          <w:szCs w:val="28"/>
        </w:rPr>
        <w:t>, gan vairāki starptautiskie dokumenti atzīst cilvēka brīvību kā vienu no fundamentālajām pamattiesībām. Tās ierobežošana pieļaujama tikai izņēmuma gadījumos, tāpēc uz aizdomās turēto un apsūdzēto apcietināšanu būtu jāskatās kā uz īpašu, nevis ik dienišķu praksi.</w:t>
      </w:r>
    </w:p>
    <w:p w:rsidR="007A0BB2" w:rsidRPr="001B2197" w:rsidRDefault="007A0BB2" w:rsidP="007A0BB2">
      <w:pPr>
        <w:jc w:val="both"/>
        <w:rPr>
          <w:sz w:val="28"/>
          <w:szCs w:val="28"/>
        </w:rPr>
      </w:pPr>
      <w:r w:rsidRPr="001B2197">
        <w:rPr>
          <w:sz w:val="28"/>
          <w:szCs w:val="28"/>
        </w:rPr>
        <w:tab/>
        <w:t xml:space="preserve">Ievērojot apcietinājuma juridisko dabu un apzinoties tā atšķirību no brīvības atņemšanas soda, tā piemērošanai visos gadījumos jābūt rūpīgi izvērtētai un pamatotai. </w:t>
      </w:r>
    </w:p>
    <w:p w:rsidR="007A0BB2" w:rsidRPr="001B2197" w:rsidRDefault="007A0BB2" w:rsidP="007A0BB2">
      <w:pPr>
        <w:jc w:val="both"/>
        <w:rPr>
          <w:sz w:val="28"/>
          <w:szCs w:val="28"/>
        </w:rPr>
      </w:pPr>
      <w:r w:rsidRPr="001B2197">
        <w:rPr>
          <w:sz w:val="28"/>
          <w:szCs w:val="28"/>
        </w:rPr>
        <w:tab/>
        <w:t xml:space="preserve">Apcietinājumam  jābūt pamatotam ne tikai dienā, kad lemj par drošības līdzekļa piemērošanu, bet arī jebkurā brīdī, kamēr personas </w:t>
      </w:r>
      <w:r w:rsidRPr="001B2197">
        <w:rPr>
          <w:sz w:val="28"/>
          <w:szCs w:val="28"/>
        </w:rPr>
        <w:lastRenderedPageBreak/>
        <w:t>atrodas ieslodzījumā. Pēc apcietinājuma sankcionēšanas nedrīkst uzskatīt, ka persona jātur ieslodzījumā līdz notiesāšanas dienai, bet vienīgais iespējamais sods pārkāpējam ir brīvības atņemšana.’’</w:t>
      </w:r>
      <w:r w:rsidRPr="001B2197">
        <w:rPr>
          <w:rStyle w:val="FootnoteReference"/>
          <w:sz w:val="28"/>
          <w:szCs w:val="28"/>
        </w:rPr>
        <w:footnoteReference w:id="19"/>
      </w:r>
      <w:r>
        <w:rPr>
          <w:sz w:val="28"/>
          <w:szCs w:val="28"/>
        </w:rPr>
        <w:t xml:space="preserve"> A</w:t>
      </w:r>
      <w:r w:rsidRPr="001B2197">
        <w:rPr>
          <w:sz w:val="28"/>
          <w:szCs w:val="28"/>
        </w:rPr>
        <w:t>utors</w:t>
      </w:r>
      <w:r>
        <w:rPr>
          <w:sz w:val="28"/>
          <w:szCs w:val="28"/>
        </w:rPr>
        <w:t xml:space="preserve"> uzskata, ka iepriekš izteiktais ir jāattiecina </w:t>
      </w:r>
      <w:r w:rsidRPr="001B2197">
        <w:rPr>
          <w:sz w:val="28"/>
          <w:szCs w:val="28"/>
        </w:rPr>
        <w:t xml:space="preserve">arī </w:t>
      </w:r>
      <w:r>
        <w:rPr>
          <w:sz w:val="28"/>
          <w:szCs w:val="28"/>
        </w:rPr>
        <w:t>drošības līdzekli - mājas arests.</w:t>
      </w:r>
    </w:p>
    <w:p w:rsidR="007A0BB2" w:rsidRPr="005B596B" w:rsidRDefault="007A0BB2" w:rsidP="007A0BB2">
      <w:pPr>
        <w:ind w:firstLine="720"/>
        <w:jc w:val="both"/>
        <w:rPr>
          <w:sz w:val="28"/>
          <w:szCs w:val="28"/>
        </w:rPr>
      </w:pPr>
      <w:r w:rsidRPr="001B069D">
        <w:rPr>
          <w:sz w:val="28"/>
          <w:szCs w:val="28"/>
        </w:rPr>
        <w:t>Ilustrācijai</w:t>
      </w:r>
      <w:r>
        <w:rPr>
          <w:i/>
          <w:sz w:val="28"/>
          <w:szCs w:val="28"/>
        </w:rPr>
        <w:t xml:space="preserve"> </w:t>
      </w:r>
      <w:r>
        <w:rPr>
          <w:sz w:val="28"/>
          <w:szCs w:val="28"/>
        </w:rPr>
        <w:t>a</w:t>
      </w:r>
      <w:r w:rsidRPr="005B596B">
        <w:rPr>
          <w:sz w:val="28"/>
          <w:szCs w:val="28"/>
        </w:rPr>
        <w:t>utors vēlas minēt pozitīvu tie</w:t>
      </w:r>
      <w:r>
        <w:rPr>
          <w:sz w:val="28"/>
          <w:szCs w:val="28"/>
        </w:rPr>
        <w:t xml:space="preserve">su prakses piemēru, kur </w:t>
      </w:r>
      <w:r w:rsidRPr="005B596B">
        <w:rPr>
          <w:sz w:val="28"/>
          <w:szCs w:val="28"/>
        </w:rPr>
        <w:t xml:space="preserve">minēto tiesību </w:t>
      </w:r>
      <w:r>
        <w:rPr>
          <w:sz w:val="28"/>
          <w:szCs w:val="28"/>
        </w:rPr>
        <w:t>ekspertu viedokļi ir ņemti vērā.</w:t>
      </w:r>
    </w:p>
    <w:p w:rsidR="007A0BB2" w:rsidRPr="001B2197" w:rsidRDefault="007A0BB2" w:rsidP="007A0BB2">
      <w:pPr>
        <w:ind w:firstLine="720"/>
        <w:jc w:val="both"/>
        <w:rPr>
          <w:sz w:val="28"/>
          <w:szCs w:val="28"/>
        </w:rPr>
      </w:pPr>
      <w:r w:rsidRPr="001B2197">
        <w:rPr>
          <w:sz w:val="28"/>
          <w:szCs w:val="28"/>
        </w:rPr>
        <w:t>22.02.2008. Kurzemes apgabaltiesas Krimināllietu tiesu kolēģija skatot lietu nr.</w:t>
      </w:r>
      <w:r>
        <w:rPr>
          <w:sz w:val="28"/>
          <w:szCs w:val="28"/>
        </w:rPr>
        <w:t>40024007-21 apsūdzētā A.</w:t>
      </w:r>
      <w:r w:rsidRPr="001B2197">
        <w:rPr>
          <w:sz w:val="28"/>
          <w:szCs w:val="28"/>
        </w:rPr>
        <w:t xml:space="preserve"> sūdzības par Ventspils tiesas izmeklēšanas tiesneša 25.01.2008. </w:t>
      </w:r>
      <w:r>
        <w:rPr>
          <w:sz w:val="28"/>
          <w:szCs w:val="28"/>
        </w:rPr>
        <w:t>lēmumu ar kuru apsūdzētajam A.</w:t>
      </w:r>
      <w:r w:rsidRPr="001B2197">
        <w:rPr>
          <w:sz w:val="28"/>
          <w:szCs w:val="28"/>
        </w:rPr>
        <w:t xml:space="preserve"> </w:t>
      </w:r>
      <w:r>
        <w:rPr>
          <w:sz w:val="28"/>
          <w:szCs w:val="28"/>
        </w:rPr>
        <w:t xml:space="preserve">ir </w:t>
      </w:r>
      <w:r w:rsidRPr="001B2197">
        <w:rPr>
          <w:sz w:val="28"/>
          <w:szCs w:val="28"/>
        </w:rPr>
        <w:t>turpināts piemērot – mājas arests, konstatēja, ka ‘’Nepareizi un nepamatoti tiesas lēmumā  norādīts, ka KPL 281.p. nenosaka, ka kontrolējot turpmākas piemērošanas nepieciešamību, vienmēr jākonstatē jauni fakti, kas būtu par pamatu piemērot mājas arestu, jo atrodoties mājas arestā persona, loģiski spriežot nevar izdarīt pretdarbību kriminālprocesa mērķa sasniegšanai, tieši tāpēc viņai piemērots šāds drošības līdzeklis. Vērtējot drošības līdzekļa turpmākās piemērošanas nepieciešamību, jāvērtē personas darbības pirms drošības līdzekļa piemērošanas un šādu darbību iespējamību.</w:t>
      </w:r>
    </w:p>
    <w:p w:rsidR="007A0BB2" w:rsidRPr="001B2197" w:rsidRDefault="007A0BB2" w:rsidP="007A0BB2">
      <w:pPr>
        <w:ind w:firstLine="720"/>
        <w:jc w:val="both"/>
        <w:rPr>
          <w:sz w:val="28"/>
          <w:szCs w:val="28"/>
        </w:rPr>
      </w:pPr>
      <w:r w:rsidRPr="001B2197">
        <w:rPr>
          <w:sz w:val="28"/>
          <w:szCs w:val="28"/>
        </w:rPr>
        <w:t>Tiesa uzskata, ka tieši šāds tiesneša secinājums un attieksme, nevēlēšanās iepazīties un rūpīgi izvērtēt iepriekšējos tiesas lēmumus un tajos norādītos motīvus, kas bijis par pamatu vissmagākā procesuālā piespiedu līdzekļa piemērošanai apsūdzētajam, ir uzskatāms un atzīstams par pamatu nepamatota lēmuma pieņemšanai, izlemjot jautājumu par turpmāka vissmagākā procesuālā piespiedu līdzek</w:t>
      </w:r>
      <w:r>
        <w:rPr>
          <w:sz w:val="28"/>
          <w:szCs w:val="28"/>
        </w:rPr>
        <w:t>ļa mājas aresta piemērošanu A. Tiesa konstatē, ka ir lietotas</w:t>
      </w:r>
      <w:r w:rsidRPr="001B2197">
        <w:rPr>
          <w:sz w:val="28"/>
          <w:szCs w:val="28"/>
        </w:rPr>
        <w:t xml:space="preserve"> vispārīgas frāzes un lēmumu nav motivējusi un argumentējusi ar konkrētiem un precīzi norādītiem faktiem un apstākļiem, kas tos apstiprina vai uz tiem norāda, ka nav pieļaujams. Lēmumam ir jābūt balstītam </w:t>
      </w:r>
      <w:r>
        <w:rPr>
          <w:sz w:val="28"/>
          <w:szCs w:val="28"/>
        </w:rPr>
        <w:t xml:space="preserve">uz </w:t>
      </w:r>
      <w:r w:rsidRPr="001B2197">
        <w:rPr>
          <w:sz w:val="28"/>
          <w:szCs w:val="28"/>
        </w:rPr>
        <w:t>faktiem un pierādījumiem – kādēļ i</w:t>
      </w:r>
      <w:r>
        <w:rPr>
          <w:sz w:val="28"/>
          <w:szCs w:val="28"/>
        </w:rPr>
        <w:t xml:space="preserve">r nepieciešams apsūdzētajam A. </w:t>
      </w:r>
      <w:r w:rsidRPr="001B2197">
        <w:rPr>
          <w:sz w:val="28"/>
          <w:szCs w:val="28"/>
        </w:rPr>
        <w:t xml:space="preserve">turpināt piemērot </w:t>
      </w:r>
      <w:r>
        <w:rPr>
          <w:sz w:val="28"/>
          <w:szCs w:val="28"/>
        </w:rPr>
        <w:t>mājas arestu.</w:t>
      </w:r>
    </w:p>
    <w:p w:rsidR="007A0BB2" w:rsidRPr="001B2197" w:rsidRDefault="007A0BB2" w:rsidP="007A0BB2">
      <w:pPr>
        <w:ind w:firstLine="720"/>
        <w:jc w:val="both"/>
        <w:rPr>
          <w:sz w:val="28"/>
          <w:szCs w:val="28"/>
        </w:rPr>
      </w:pPr>
      <w:r w:rsidRPr="001B2197">
        <w:rPr>
          <w:sz w:val="28"/>
          <w:szCs w:val="28"/>
        </w:rPr>
        <w:t xml:space="preserve">Saskaņā ar KPL 281.p.4.d. </w:t>
      </w:r>
      <w:r>
        <w:rPr>
          <w:sz w:val="28"/>
          <w:szCs w:val="28"/>
        </w:rPr>
        <w:t>i</w:t>
      </w:r>
      <w:r w:rsidRPr="001B2197">
        <w:rPr>
          <w:sz w:val="28"/>
          <w:szCs w:val="28"/>
        </w:rPr>
        <w:t>zmeklēšanas tiesnesim veicot kontroli bija jāvērtē vai turpina pastāvēt apstākļi (pamats) drošības līdzekļa piemērošanai (saglabāšanai), jāiepazīstas un jāizvērtē iepriekšējos lēmumos norādītie motīvi un argumenti un jāizvērtē vai tie joprojām pastāv.</w:t>
      </w:r>
      <w:r>
        <w:rPr>
          <w:sz w:val="28"/>
          <w:szCs w:val="28"/>
        </w:rPr>
        <w:t xml:space="preserve"> Tiesa savā lēmumā norāda, ka ‘’t</w:t>
      </w:r>
      <w:r w:rsidRPr="001B2197">
        <w:rPr>
          <w:sz w:val="28"/>
          <w:szCs w:val="28"/>
        </w:rPr>
        <w:t>iesību speciālisti ir atzinuši, ka katru reizi skatot jautājumu par drošības līdzekļa turpmāku piemērošanu situācija ir jāvērtē un līdzeklis jāpiemēro it kā no jauna, proti, vai konkrētajā situācijā ir saglabājies vai radies jauns pamats piespiedu līdzekļa piemērošanai un tas jāargumentē un jāmotivē savā lēmumā, neaprobežojoties tikai ar vispārīgām frāzēm. Līdz ar to tiesa uzskata, ka izmeklēšanas tiesneša lēmums ir formāls, neatbilstošs kriminālprocesa likuma noteiktajām un ECT prasībām un tāpēc</w:t>
      </w:r>
      <w:r>
        <w:rPr>
          <w:sz w:val="28"/>
          <w:szCs w:val="28"/>
        </w:rPr>
        <w:t xml:space="preserve"> atceļams.’’</w:t>
      </w:r>
    </w:p>
    <w:p w:rsidR="007A0BB2" w:rsidRPr="001B2197" w:rsidRDefault="007A0BB2" w:rsidP="007A0BB2">
      <w:pPr>
        <w:ind w:firstLine="720"/>
        <w:jc w:val="both"/>
        <w:rPr>
          <w:sz w:val="28"/>
          <w:szCs w:val="28"/>
        </w:rPr>
      </w:pPr>
      <w:r>
        <w:rPr>
          <w:sz w:val="28"/>
          <w:szCs w:val="28"/>
        </w:rPr>
        <w:lastRenderedPageBreak/>
        <w:t>Analizējot minēto</w:t>
      </w:r>
      <w:r w:rsidRPr="001B2197">
        <w:rPr>
          <w:sz w:val="28"/>
          <w:szCs w:val="28"/>
        </w:rPr>
        <w:t xml:space="preserve"> ekspertu viedokļus un  tiesas lēmumu, autors </w:t>
      </w:r>
      <w:r>
        <w:rPr>
          <w:sz w:val="28"/>
          <w:szCs w:val="28"/>
        </w:rPr>
        <w:t>nonāk pie secinājuma, ja</w:t>
      </w:r>
      <w:r w:rsidRPr="001B2197">
        <w:rPr>
          <w:sz w:val="28"/>
          <w:szCs w:val="28"/>
        </w:rPr>
        <w:t xml:space="preserve"> pietiekami precīzi </w:t>
      </w:r>
      <w:r>
        <w:rPr>
          <w:sz w:val="28"/>
          <w:szCs w:val="28"/>
        </w:rPr>
        <w:t>un skaidri tiks noregulēts augstāk iztirzātais</w:t>
      </w:r>
      <w:r w:rsidRPr="001B2197">
        <w:rPr>
          <w:sz w:val="28"/>
          <w:szCs w:val="28"/>
        </w:rPr>
        <w:t xml:space="preserve"> jaut</w:t>
      </w:r>
      <w:r>
        <w:rPr>
          <w:sz w:val="28"/>
          <w:szCs w:val="28"/>
        </w:rPr>
        <w:t>ājums</w:t>
      </w:r>
      <w:r w:rsidRPr="001B2197">
        <w:rPr>
          <w:sz w:val="28"/>
          <w:szCs w:val="28"/>
        </w:rPr>
        <w:t xml:space="preserve">, </w:t>
      </w:r>
      <w:r>
        <w:rPr>
          <w:sz w:val="28"/>
          <w:szCs w:val="28"/>
        </w:rPr>
        <w:t xml:space="preserve">tad </w:t>
      </w:r>
      <w:r w:rsidRPr="001B2197">
        <w:rPr>
          <w:sz w:val="28"/>
          <w:szCs w:val="28"/>
        </w:rPr>
        <w:t>tiks novērsta iespēja pieņemt nepamatotus lēmumus. Atziņai par to, ka izteiktos secinājumus var balstīt tikai un vienīgi uz pierādījumiem, ir jābūt neapstrīdamai.</w:t>
      </w:r>
    </w:p>
    <w:p w:rsidR="007A0BB2" w:rsidRDefault="007A0BB2" w:rsidP="007A0BB2">
      <w:pPr>
        <w:pStyle w:val="naisf"/>
        <w:spacing w:before="0" w:beforeAutospacing="0" w:after="0" w:afterAutospacing="0"/>
        <w:ind w:firstLine="720"/>
        <w:jc w:val="both"/>
        <w:rPr>
          <w:sz w:val="28"/>
          <w:szCs w:val="28"/>
          <w:lang w:val="lv-LV"/>
        </w:rPr>
      </w:pPr>
      <w:r>
        <w:rPr>
          <w:sz w:val="28"/>
          <w:szCs w:val="28"/>
          <w:lang w:val="lv-LV"/>
        </w:rPr>
        <w:t>Autors ierosina izteikt KPL 274.panta 5.daļu šādā redakcijā:</w:t>
      </w:r>
    </w:p>
    <w:p w:rsidR="007A0BB2" w:rsidRPr="001B2197" w:rsidRDefault="007A0BB2" w:rsidP="007A0BB2">
      <w:pPr>
        <w:pStyle w:val="naisf"/>
        <w:spacing w:before="0" w:beforeAutospacing="0" w:after="0" w:afterAutospacing="0"/>
        <w:jc w:val="both"/>
        <w:rPr>
          <w:sz w:val="28"/>
          <w:szCs w:val="28"/>
          <w:lang w:val="lv-LV"/>
        </w:rPr>
      </w:pPr>
      <w:r>
        <w:rPr>
          <w:sz w:val="28"/>
          <w:szCs w:val="28"/>
          <w:lang w:val="lv-LV"/>
        </w:rPr>
        <w:t>(5) ‘’Izmeklēšanas tiesnesis lēmumā pamato apcietinājumu vai citu drošības līdzekļa piemērošanu ar konkrētiem pierādījumiem, kas ir balstīti uz lietas materiāliem.’’</w:t>
      </w:r>
    </w:p>
    <w:p w:rsidR="007A0BB2" w:rsidRDefault="007A0BB2" w:rsidP="007A0BB2">
      <w:pPr>
        <w:jc w:val="both"/>
        <w:rPr>
          <w:sz w:val="28"/>
          <w:szCs w:val="28"/>
        </w:rPr>
      </w:pPr>
    </w:p>
    <w:p w:rsidR="007A0BB2" w:rsidRPr="00EB77F9" w:rsidRDefault="007A0BB2" w:rsidP="007A0BB2">
      <w:pPr>
        <w:jc w:val="both"/>
        <w:rPr>
          <w:b/>
          <w:sz w:val="28"/>
          <w:szCs w:val="28"/>
        </w:rPr>
      </w:pPr>
      <w:r>
        <w:rPr>
          <w:b/>
          <w:sz w:val="28"/>
          <w:szCs w:val="28"/>
        </w:rPr>
        <w:t xml:space="preserve">2.2. </w:t>
      </w:r>
      <w:r w:rsidRPr="00EB77F9">
        <w:rPr>
          <w:b/>
          <w:sz w:val="28"/>
          <w:szCs w:val="28"/>
        </w:rPr>
        <w:t>Cilvēktiesību ievērošana un tās kontrole</w:t>
      </w:r>
      <w:r>
        <w:rPr>
          <w:b/>
          <w:sz w:val="28"/>
          <w:szCs w:val="28"/>
        </w:rPr>
        <w:t>,</w:t>
      </w:r>
      <w:r w:rsidRPr="00EB77F9">
        <w:rPr>
          <w:b/>
          <w:sz w:val="28"/>
          <w:szCs w:val="28"/>
        </w:rPr>
        <w:t xml:space="preserve"> </w:t>
      </w:r>
      <w:r>
        <w:rPr>
          <w:b/>
          <w:sz w:val="28"/>
          <w:szCs w:val="28"/>
        </w:rPr>
        <w:t>piemērojot drošības līdzekļus</w:t>
      </w:r>
      <w:r w:rsidRPr="00EB77F9">
        <w:rPr>
          <w:b/>
          <w:sz w:val="28"/>
          <w:szCs w:val="28"/>
        </w:rPr>
        <w:t xml:space="preserve"> </w:t>
      </w:r>
    </w:p>
    <w:p w:rsidR="007A0BB2" w:rsidRDefault="007A0BB2" w:rsidP="007A0BB2">
      <w:pPr>
        <w:jc w:val="both"/>
        <w:rPr>
          <w:sz w:val="28"/>
          <w:szCs w:val="28"/>
        </w:rPr>
      </w:pPr>
    </w:p>
    <w:p w:rsidR="007A0BB2" w:rsidRPr="002241D8" w:rsidRDefault="007A0BB2" w:rsidP="007A0BB2">
      <w:pPr>
        <w:ind w:firstLine="720"/>
        <w:jc w:val="both"/>
        <w:rPr>
          <w:sz w:val="28"/>
          <w:szCs w:val="28"/>
        </w:rPr>
      </w:pPr>
      <w:r w:rsidRPr="001B2197">
        <w:rPr>
          <w:sz w:val="28"/>
          <w:szCs w:val="28"/>
        </w:rPr>
        <w:t>Tiesu prak</w:t>
      </w:r>
      <w:r>
        <w:rPr>
          <w:sz w:val="28"/>
          <w:szCs w:val="28"/>
        </w:rPr>
        <w:t>sē visbiežāk dažādi interpretēta un piemērota</w:t>
      </w:r>
      <w:r w:rsidRPr="001B2197">
        <w:rPr>
          <w:sz w:val="28"/>
          <w:szCs w:val="28"/>
        </w:rPr>
        <w:t xml:space="preserve"> ir </w:t>
      </w:r>
      <w:r>
        <w:rPr>
          <w:sz w:val="28"/>
          <w:szCs w:val="28"/>
        </w:rPr>
        <w:t>KPL 246.panta 2.daļa, kurā ir noteikts, ka</w:t>
      </w:r>
      <w:r w:rsidRPr="00300122">
        <w:rPr>
          <w:sz w:val="28"/>
          <w:szCs w:val="28"/>
        </w:rPr>
        <w:t xml:space="preserve"> </w:t>
      </w:r>
      <w:r w:rsidRPr="001B2197">
        <w:rPr>
          <w:sz w:val="28"/>
          <w:szCs w:val="28"/>
        </w:rPr>
        <w:t xml:space="preserve">‘’Persona, kura īsteno tiesības uz aizstāvību, ir tiesīga iepazīties ar procesuālajiem dokumentiem, kuros fiksētās ziņas par faktiem izmantotas, lai pamatotu procesuālā piespiedu līdzekļa piemērošanu. Ja šāda iepazīstināšana apdraud pirmstiesas izmeklēšanu vai arī trešajai personai vai sabiedrībai svarīgas intereses, ar procesa virzītāja lēmumu to var atlikt līdz attiecīgā apdraudējuma novēršanai. </w:t>
      </w:r>
      <w:r w:rsidRPr="002241D8">
        <w:rPr>
          <w:sz w:val="28"/>
          <w:szCs w:val="28"/>
        </w:rPr>
        <w:t>(patreizējā redakcija)</w:t>
      </w:r>
    </w:p>
    <w:p w:rsidR="007A0BB2" w:rsidRPr="002241D8" w:rsidRDefault="007A0BB2" w:rsidP="007A0BB2">
      <w:pPr>
        <w:ind w:firstLine="720"/>
        <w:jc w:val="both"/>
        <w:rPr>
          <w:bCs/>
          <w:sz w:val="28"/>
          <w:szCs w:val="28"/>
        </w:rPr>
      </w:pPr>
      <w:r>
        <w:rPr>
          <w:sz w:val="28"/>
          <w:szCs w:val="28"/>
        </w:rPr>
        <w:t xml:space="preserve">Savukārt </w:t>
      </w:r>
      <w:r w:rsidRPr="002241D8">
        <w:rPr>
          <w:sz w:val="28"/>
          <w:szCs w:val="28"/>
        </w:rPr>
        <w:t>TM</w:t>
      </w:r>
      <w:r>
        <w:rPr>
          <w:sz w:val="28"/>
          <w:szCs w:val="28"/>
        </w:rPr>
        <w:t xml:space="preserve"> </w:t>
      </w:r>
      <w:r w:rsidRPr="002241D8">
        <w:rPr>
          <w:sz w:val="28"/>
          <w:szCs w:val="28"/>
        </w:rPr>
        <w:t xml:space="preserve">piedāvā </w:t>
      </w:r>
      <w:r w:rsidRPr="002241D8">
        <w:rPr>
          <w:bCs/>
          <w:sz w:val="28"/>
          <w:szCs w:val="28"/>
        </w:rPr>
        <w:t>izteikt otro daļu šādā redakcijā:</w:t>
      </w:r>
    </w:p>
    <w:p w:rsidR="007A0BB2" w:rsidRPr="001B2197" w:rsidRDefault="007A0BB2" w:rsidP="007A0BB2">
      <w:pPr>
        <w:jc w:val="both"/>
        <w:rPr>
          <w:i/>
          <w:sz w:val="28"/>
          <w:szCs w:val="28"/>
        </w:rPr>
      </w:pPr>
      <w:r w:rsidRPr="001B2197">
        <w:rPr>
          <w:sz w:val="28"/>
          <w:szCs w:val="28"/>
        </w:rPr>
        <w:t xml:space="preserve">"(2) </w:t>
      </w:r>
      <w:r w:rsidRPr="001B2197">
        <w:rPr>
          <w:i/>
          <w:sz w:val="28"/>
          <w:szCs w:val="28"/>
        </w:rPr>
        <w:t xml:space="preserve">Pirms pieņemt lēmumu par tāda drošības līdzekļa piemērošanu, kas saistīts ar brīvības atņemšanu, procesa virzītājs izsniedz personai, kurai ir tiesības uz aizstāvību, tā ierosinājuma kopiju, kurā </w:t>
      </w:r>
      <w:r w:rsidRPr="00795CD6">
        <w:rPr>
          <w:i/>
          <w:sz w:val="28"/>
          <w:szCs w:val="28"/>
          <w:u w:val="single"/>
        </w:rPr>
        <w:t xml:space="preserve">pamatota </w:t>
      </w:r>
      <w:r w:rsidRPr="001B2197">
        <w:rPr>
          <w:i/>
          <w:sz w:val="28"/>
          <w:szCs w:val="28"/>
        </w:rPr>
        <w:t>drošības līdzekļa izvēle."</w:t>
      </w:r>
    </w:p>
    <w:p w:rsidR="007A0BB2" w:rsidRPr="001B2197" w:rsidRDefault="007A0BB2" w:rsidP="007A0BB2">
      <w:pPr>
        <w:ind w:firstLine="720"/>
        <w:jc w:val="both"/>
        <w:rPr>
          <w:sz w:val="28"/>
          <w:szCs w:val="28"/>
        </w:rPr>
      </w:pPr>
      <w:r>
        <w:rPr>
          <w:sz w:val="28"/>
          <w:szCs w:val="28"/>
        </w:rPr>
        <w:t>Analizējot</w:t>
      </w:r>
      <w:r w:rsidRPr="001B2197">
        <w:rPr>
          <w:sz w:val="28"/>
          <w:szCs w:val="28"/>
        </w:rPr>
        <w:t xml:space="preserve"> TM piedāvāto redakciju, </w:t>
      </w:r>
      <w:r>
        <w:rPr>
          <w:sz w:val="28"/>
          <w:szCs w:val="28"/>
        </w:rPr>
        <w:t>autors vēla</w:t>
      </w:r>
      <w:r w:rsidRPr="001B2197">
        <w:rPr>
          <w:sz w:val="28"/>
          <w:szCs w:val="28"/>
        </w:rPr>
        <w:t>s vērst uzmanību, ka praksē proce</w:t>
      </w:r>
      <w:r>
        <w:rPr>
          <w:sz w:val="28"/>
          <w:szCs w:val="28"/>
        </w:rPr>
        <w:t>sa virzītājs ierosinājuma izsniedz</w:t>
      </w:r>
      <w:r w:rsidRPr="001B2197">
        <w:rPr>
          <w:sz w:val="28"/>
          <w:szCs w:val="28"/>
        </w:rPr>
        <w:t xml:space="preserve"> tikai tad, kad</w:t>
      </w:r>
      <w:r>
        <w:rPr>
          <w:sz w:val="28"/>
          <w:szCs w:val="28"/>
        </w:rPr>
        <w:t xml:space="preserve"> to lūdz aizstāvis. Bieži </w:t>
      </w:r>
      <w:r w:rsidRPr="001B2197">
        <w:rPr>
          <w:sz w:val="28"/>
          <w:szCs w:val="28"/>
        </w:rPr>
        <w:t xml:space="preserve">procesa </w:t>
      </w:r>
      <w:r>
        <w:rPr>
          <w:sz w:val="28"/>
          <w:szCs w:val="28"/>
        </w:rPr>
        <w:t>virzītājs atsakās to izsniegt, jo uzskata</w:t>
      </w:r>
      <w:r w:rsidRPr="001B2197">
        <w:rPr>
          <w:sz w:val="28"/>
          <w:szCs w:val="28"/>
        </w:rPr>
        <w:t>, ka KPL ne</w:t>
      </w:r>
      <w:r>
        <w:rPr>
          <w:sz w:val="28"/>
          <w:szCs w:val="28"/>
        </w:rPr>
        <w:t>paredz ierosinājuma izsniegšanu. Tādēļ vienīgā iespēja kāda pastāv ir lūguma pieteikšana</w:t>
      </w:r>
      <w:r w:rsidRPr="001B2197">
        <w:rPr>
          <w:sz w:val="28"/>
          <w:szCs w:val="28"/>
        </w:rPr>
        <w:t xml:space="preserve"> t</w:t>
      </w:r>
      <w:r>
        <w:rPr>
          <w:sz w:val="28"/>
          <w:szCs w:val="28"/>
        </w:rPr>
        <w:t>iesas sēdē, pēc kā tiesa uzliek</w:t>
      </w:r>
      <w:r w:rsidRPr="001B2197">
        <w:rPr>
          <w:sz w:val="28"/>
          <w:szCs w:val="28"/>
        </w:rPr>
        <w:t xml:space="preserve"> par pienākumu izsniegt ierosinājumu. Loģiski, ka oponē</w:t>
      </w:r>
      <w:r>
        <w:rPr>
          <w:sz w:val="28"/>
          <w:szCs w:val="28"/>
        </w:rPr>
        <w:t>t ir iespējams tikai tad, kad aizstāvība zina</w:t>
      </w:r>
      <w:r w:rsidRPr="001B2197">
        <w:rPr>
          <w:sz w:val="28"/>
          <w:szCs w:val="28"/>
        </w:rPr>
        <w:t>, kādi ir otras puses argumenti. Tā kā šādas domstarpības praksē ir, ta</w:t>
      </w:r>
      <w:r>
        <w:rPr>
          <w:sz w:val="28"/>
          <w:szCs w:val="28"/>
        </w:rPr>
        <w:t>d TM ierosinājums papildināt šo pantu ir atbalstāms.</w:t>
      </w:r>
      <w:r w:rsidRPr="001B2197">
        <w:rPr>
          <w:sz w:val="28"/>
          <w:szCs w:val="28"/>
        </w:rPr>
        <w:t xml:space="preserve"> </w:t>
      </w:r>
    </w:p>
    <w:p w:rsidR="007A0BB2" w:rsidRPr="001B2197" w:rsidRDefault="007A0BB2" w:rsidP="007A0BB2">
      <w:pPr>
        <w:ind w:firstLine="720"/>
        <w:jc w:val="both"/>
        <w:rPr>
          <w:sz w:val="28"/>
          <w:szCs w:val="28"/>
        </w:rPr>
      </w:pPr>
      <w:r>
        <w:rPr>
          <w:sz w:val="28"/>
          <w:szCs w:val="28"/>
        </w:rPr>
        <w:t>Autors uzskata, ka nav atbalstāms TM priekšlikums izslēgt pašreizējo  KPL 246.panta 2.daļas redakciju, sekojošu iemeslu dēļ</w:t>
      </w:r>
      <w:r w:rsidRPr="001B2197">
        <w:rPr>
          <w:sz w:val="28"/>
          <w:szCs w:val="28"/>
        </w:rPr>
        <w:t>:</w:t>
      </w:r>
    </w:p>
    <w:p w:rsidR="007A0BB2" w:rsidRPr="00795CD6" w:rsidRDefault="007A0BB2" w:rsidP="007A0BB2">
      <w:pPr>
        <w:jc w:val="both"/>
        <w:rPr>
          <w:sz w:val="28"/>
          <w:szCs w:val="28"/>
        </w:rPr>
      </w:pPr>
      <w:r>
        <w:rPr>
          <w:sz w:val="28"/>
          <w:szCs w:val="28"/>
        </w:rPr>
        <w:t>1. Tā tiks ignorētas aizdomās turētās un apsūdzētās personas</w:t>
      </w:r>
      <w:r w:rsidRPr="00795CD6">
        <w:rPr>
          <w:sz w:val="28"/>
          <w:szCs w:val="28"/>
        </w:rPr>
        <w:t xml:space="preserve"> tiesības uz aizs</w:t>
      </w:r>
      <w:r>
        <w:rPr>
          <w:sz w:val="28"/>
          <w:szCs w:val="28"/>
        </w:rPr>
        <w:t>tāvību, kas noteiktas KPL 20.pantā.</w:t>
      </w:r>
    </w:p>
    <w:p w:rsidR="007A0BB2" w:rsidRPr="00003BE4" w:rsidRDefault="007A0BB2" w:rsidP="007A0BB2">
      <w:pPr>
        <w:ind w:firstLine="720"/>
        <w:jc w:val="both"/>
        <w:rPr>
          <w:bCs/>
          <w:color w:val="000000"/>
          <w:sz w:val="28"/>
          <w:szCs w:val="28"/>
        </w:rPr>
      </w:pPr>
      <w:r w:rsidRPr="001B2197">
        <w:rPr>
          <w:sz w:val="28"/>
          <w:szCs w:val="28"/>
        </w:rPr>
        <w:t xml:space="preserve">Salīdzinājumam, </w:t>
      </w:r>
      <w:r w:rsidRPr="00795CD6">
        <w:rPr>
          <w:sz w:val="28"/>
          <w:szCs w:val="28"/>
        </w:rPr>
        <w:t>Lietuvas KPK</w:t>
      </w:r>
      <w:r>
        <w:rPr>
          <w:bCs/>
          <w:color w:val="000000"/>
          <w:sz w:val="28"/>
          <w:szCs w:val="28"/>
        </w:rPr>
        <w:t xml:space="preserve"> 10. pantā ir noteiktas aizdomās turētās</w:t>
      </w:r>
      <w:r w:rsidRPr="001B2197">
        <w:rPr>
          <w:bCs/>
          <w:color w:val="000000"/>
          <w:sz w:val="28"/>
          <w:szCs w:val="28"/>
        </w:rPr>
        <w:t>, apsūdzētā un notiesātā tiesības uz aizstāvību garantēšana</w:t>
      </w:r>
      <w:r>
        <w:rPr>
          <w:bCs/>
          <w:color w:val="000000"/>
          <w:sz w:val="28"/>
          <w:szCs w:val="28"/>
        </w:rPr>
        <w:t>.</w:t>
      </w:r>
    </w:p>
    <w:p w:rsidR="007A0BB2" w:rsidRPr="001B2197" w:rsidRDefault="007A0BB2" w:rsidP="007A0BB2">
      <w:pPr>
        <w:pStyle w:val="BodyText"/>
        <w:spacing w:before="0" w:beforeAutospacing="0" w:after="0" w:afterAutospacing="0"/>
        <w:jc w:val="both"/>
        <w:rPr>
          <w:sz w:val="28"/>
          <w:szCs w:val="28"/>
          <w:lang w:val="lv-LV"/>
        </w:rPr>
      </w:pPr>
      <w:r>
        <w:rPr>
          <w:sz w:val="28"/>
          <w:szCs w:val="28"/>
          <w:lang w:val="lv-LV"/>
        </w:rPr>
        <w:t>- aizdomās turēta</w:t>
      </w:r>
      <w:r w:rsidRPr="001B2197">
        <w:rPr>
          <w:sz w:val="28"/>
          <w:szCs w:val="28"/>
          <w:lang w:val="lv-LV"/>
        </w:rPr>
        <w:t>jam, apsūdzētajam un notiesātajam ir tiesības uz aizstāvību. Šīs tiesības viņiem nodrošināmas pēc aizturēšanas vai pirmās nopratināšanas.</w:t>
      </w:r>
    </w:p>
    <w:p w:rsidR="007A0BB2" w:rsidRPr="001B2197" w:rsidRDefault="007A0BB2" w:rsidP="007A0BB2">
      <w:pPr>
        <w:jc w:val="both"/>
        <w:rPr>
          <w:sz w:val="28"/>
          <w:szCs w:val="28"/>
        </w:rPr>
      </w:pPr>
      <w:r>
        <w:rPr>
          <w:sz w:val="28"/>
          <w:szCs w:val="28"/>
        </w:rPr>
        <w:lastRenderedPageBreak/>
        <w:t>- t</w:t>
      </w:r>
      <w:r w:rsidRPr="001B2197">
        <w:rPr>
          <w:sz w:val="28"/>
          <w:szCs w:val="28"/>
        </w:rPr>
        <w:t>iesai, prokuroram, pirmstiesas izmeklēšanas amatpersonai aizdomās turamajam, apsūdzētajam un notiesātajam jānodrošina iespēja ar likumdošanā paredzētiem līdzekļiem un veidiem aizstāvēties pret aizdomām un apsūdzībām, un jāveic nepieciešamie pasākumi, lai nodrošinātu viņu personīgo un mantisko tiesību aizsardzību.</w:t>
      </w:r>
    </w:p>
    <w:p w:rsidR="007A0BB2" w:rsidRPr="001B2197" w:rsidRDefault="007A0BB2" w:rsidP="007A0BB2">
      <w:pPr>
        <w:ind w:firstLine="720"/>
        <w:jc w:val="both"/>
        <w:rPr>
          <w:sz w:val="28"/>
          <w:szCs w:val="28"/>
        </w:rPr>
      </w:pPr>
      <w:r w:rsidRPr="00795CD6">
        <w:rPr>
          <w:sz w:val="28"/>
          <w:szCs w:val="28"/>
        </w:rPr>
        <w:t>A</w:t>
      </w:r>
      <w:r>
        <w:rPr>
          <w:sz w:val="28"/>
          <w:szCs w:val="28"/>
        </w:rPr>
        <w:t>tšķirībā no Latvijas KPL 20.panta</w:t>
      </w:r>
      <w:r w:rsidRPr="001B2197">
        <w:rPr>
          <w:sz w:val="28"/>
          <w:szCs w:val="28"/>
        </w:rPr>
        <w:t>,</w:t>
      </w:r>
      <w:r>
        <w:rPr>
          <w:sz w:val="28"/>
          <w:szCs w:val="28"/>
        </w:rPr>
        <w:t xml:space="preserve"> </w:t>
      </w:r>
      <w:r w:rsidRPr="00795CD6">
        <w:rPr>
          <w:sz w:val="28"/>
          <w:szCs w:val="28"/>
        </w:rPr>
        <w:t>Lietuvas KPK</w:t>
      </w:r>
      <w:r w:rsidRPr="001B2197">
        <w:rPr>
          <w:sz w:val="28"/>
          <w:szCs w:val="28"/>
        </w:rPr>
        <w:t xml:space="preserve"> ir precīzi atspoguļotas fundamentālas tiesību garantijas t.i. garantētas tiesības uz aizstāvību un ir prezumēts, ka tiesai, prokuroram un pirmstiesas izmeklēšanas amatpersonām ir pienākums nodrošināt personai iespējas ar likumdošanā paredzētiem līdzekļiem un veidiem aizstāvēties pret aizdomām un apsūdzībām</w:t>
      </w:r>
      <w:r>
        <w:rPr>
          <w:sz w:val="28"/>
          <w:szCs w:val="28"/>
        </w:rPr>
        <w:t>. Uzskatu, ka Latvijas KPL 20.panta 1.daļā</w:t>
      </w:r>
      <w:r w:rsidRPr="001B2197">
        <w:rPr>
          <w:sz w:val="28"/>
          <w:szCs w:val="28"/>
        </w:rPr>
        <w:t xml:space="preserve"> ir minēts nepilnīgs tiesību uzskaitījums, ko  jāsaprot ar tiesībām uz </w:t>
      </w:r>
      <w:r>
        <w:rPr>
          <w:sz w:val="28"/>
          <w:szCs w:val="28"/>
        </w:rPr>
        <w:t xml:space="preserve">aizstāvību. Tās nevar būt tikai </w:t>
      </w:r>
      <w:r w:rsidRPr="001B2197">
        <w:rPr>
          <w:sz w:val="28"/>
          <w:szCs w:val="28"/>
        </w:rPr>
        <w:t>tiesības zināt, kādā nodarījuma izdarīšanā personu tur aizdomās vai apsūdz vai tiesības izvēlēt</w:t>
      </w:r>
      <w:r>
        <w:rPr>
          <w:sz w:val="28"/>
          <w:szCs w:val="28"/>
        </w:rPr>
        <w:t>ies savu aizstāvības pozīciju.</w:t>
      </w:r>
      <w:r w:rsidRPr="001B2197">
        <w:rPr>
          <w:sz w:val="28"/>
          <w:szCs w:val="28"/>
        </w:rPr>
        <w:t xml:space="preserve"> Praksē šī norma no procesa virzītāja puses tiek ļoti </w:t>
      </w:r>
      <w:r>
        <w:rPr>
          <w:sz w:val="28"/>
          <w:szCs w:val="28"/>
        </w:rPr>
        <w:t xml:space="preserve">šauri tulkota, izmantojot tikai </w:t>
      </w:r>
      <w:r w:rsidRPr="001B2197">
        <w:rPr>
          <w:sz w:val="28"/>
          <w:szCs w:val="28"/>
        </w:rPr>
        <w:t xml:space="preserve">gramatisko interpretācijas metodi, tādēļ rodas </w:t>
      </w:r>
      <w:r>
        <w:rPr>
          <w:sz w:val="28"/>
          <w:szCs w:val="28"/>
        </w:rPr>
        <w:t xml:space="preserve">domstarpības un </w:t>
      </w:r>
      <w:r w:rsidRPr="001B2197">
        <w:rPr>
          <w:sz w:val="28"/>
          <w:szCs w:val="28"/>
        </w:rPr>
        <w:t>pārpratumi ar tās piemērošanu. Uzskata, ja šī norma būtu izteikta precīzāk, tad strīds par to ne</w:t>
      </w:r>
      <w:r>
        <w:rPr>
          <w:sz w:val="28"/>
          <w:szCs w:val="28"/>
        </w:rPr>
        <w:t>pastāvētu. N</w:t>
      </w:r>
      <w:r w:rsidRPr="001B2197">
        <w:rPr>
          <w:sz w:val="28"/>
          <w:szCs w:val="28"/>
        </w:rPr>
        <w:t xml:space="preserve">epilnīgais tiesību uzskaitījums būtu jāizslēdz, tā paverot iespēju daudz plašāk interpretēt tiesības uz aizstāvību, atsaucoties ne tikai uz </w:t>
      </w:r>
      <w:r>
        <w:rPr>
          <w:sz w:val="28"/>
          <w:szCs w:val="28"/>
        </w:rPr>
        <w:t>LR Satversmes 89.pantu</w:t>
      </w:r>
      <w:r w:rsidRPr="001B2197">
        <w:rPr>
          <w:sz w:val="28"/>
          <w:szCs w:val="28"/>
        </w:rPr>
        <w:t>, kur noteikts, ka valsts atzīst un aizsargā cilvēka</w:t>
      </w:r>
      <w:r>
        <w:rPr>
          <w:sz w:val="28"/>
          <w:szCs w:val="28"/>
        </w:rPr>
        <w:t xml:space="preserve"> pamattiesības, bet arī uz K</w:t>
      </w:r>
      <w:r w:rsidRPr="001B2197">
        <w:rPr>
          <w:sz w:val="28"/>
          <w:szCs w:val="28"/>
        </w:rPr>
        <w:t xml:space="preserve">onvenciju </w:t>
      </w:r>
      <w:r>
        <w:rPr>
          <w:sz w:val="28"/>
          <w:szCs w:val="28"/>
        </w:rPr>
        <w:t>un ECTT spriedumiem, kuros ir interpretētas cilvēktiesību normas, kas ir saistošas Latvijai.</w:t>
      </w:r>
    </w:p>
    <w:p w:rsidR="007A0BB2" w:rsidRPr="00E858F8" w:rsidRDefault="007A0BB2" w:rsidP="007A0BB2">
      <w:pPr>
        <w:ind w:firstLine="720"/>
        <w:jc w:val="both"/>
        <w:rPr>
          <w:sz w:val="28"/>
          <w:szCs w:val="28"/>
        </w:rPr>
      </w:pPr>
      <w:r>
        <w:rPr>
          <w:sz w:val="28"/>
          <w:szCs w:val="28"/>
        </w:rPr>
        <w:t xml:space="preserve">Savukārt, </w:t>
      </w:r>
      <w:r w:rsidRPr="00E555CB">
        <w:rPr>
          <w:sz w:val="28"/>
          <w:szCs w:val="28"/>
        </w:rPr>
        <w:t>KF KPK 16.p. Aizdomās turētā un apsūdzētā tiesību uz aizstāvību nodrošināšana</w:t>
      </w:r>
      <w:r>
        <w:rPr>
          <w:sz w:val="28"/>
          <w:szCs w:val="28"/>
        </w:rPr>
        <w:t xml:space="preserve"> </w:t>
      </w:r>
      <w:r w:rsidRPr="00E858F8">
        <w:rPr>
          <w:sz w:val="28"/>
          <w:szCs w:val="28"/>
        </w:rPr>
        <w:t>2.d. nosaka, ka tiesa, prokurors, izmeklētājs izskaidro aizdomās turētajam un apsūdzētajam viņu tiesības un nodrošina viņām iespēju aizstāvēties ar visiem veidiem un līdzekļiem, kas nav aizliegti ar likumu.</w:t>
      </w:r>
    </w:p>
    <w:p w:rsidR="007A0BB2" w:rsidRPr="00E858F8" w:rsidRDefault="007A0BB2" w:rsidP="007A0BB2">
      <w:pPr>
        <w:ind w:firstLine="720"/>
        <w:jc w:val="both"/>
        <w:rPr>
          <w:sz w:val="28"/>
          <w:szCs w:val="28"/>
        </w:rPr>
      </w:pPr>
      <w:r>
        <w:rPr>
          <w:sz w:val="28"/>
          <w:szCs w:val="28"/>
        </w:rPr>
        <w:t xml:space="preserve">Autors </w:t>
      </w:r>
      <w:r w:rsidRPr="00E858F8">
        <w:rPr>
          <w:sz w:val="28"/>
          <w:szCs w:val="28"/>
        </w:rPr>
        <w:t>vērš uzmanību, ka zi</w:t>
      </w:r>
      <w:r>
        <w:rPr>
          <w:sz w:val="28"/>
          <w:szCs w:val="28"/>
        </w:rPr>
        <w:t>nātniskajos komentāros</w:t>
      </w:r>
      <w:r w:rsidRPr="00E858F8">
        <w:rPr>
          <w:sz w:val="28"/>
          <w:szCs w:val="28"/>
        </w:rPr>
        <w:t xml:space="preserve"> ir norādīts, ka ‘’tiesai, prokuroram un izmeklētājam ir pienākums sekmēt un veicināt aizdomās turētā un apsūdzētā tiesību realizēšanā uz aizstāvību. Tiesības uz aizstāvību tiek realizētas tādā veidā, ka tām ir tiesības iepazīties ar lietas materiāliem, kas tiek nosūtīti uz tiesu, kad tiek skatīt jautājums par aizturēšanu un apcietināšanu.’’ </w:t>
      </w:r>
      <w:r w:rsidRPr="00E858F8">
        <w:rPr>
          <w:rStyle w:val="FootnoteReference"/>
          <w:sz w:val="28"/>
          <w:szCs w:val="28"/>
        </w:rPr>
        <w:footnoteReference w:id="20"/>
      </w:r>
      <w:r w:rsidRPr="00E858F8">
        <w:rPr>
          <w:sz w:val="28"/>
          <w:szCs w:val="28"/>
        </w:rPr>
        <w:t xml:space="preserve"> </w:t>
      </w:r>
    </w:p>
    <w:p w:rsidR="007A0BB2" w:rsidRPr="00E858F8" w:rsidRDefault="007A0BB2" w:rsidP="007A0BB2">
      <w:pPr>
        <w:ind w:firstLine="720"/>
        <w:jc w:val="both"/>
        <w:rPr>
          <w:sz w:val="28"/>
          <w:szCs w:val="28"/>
        </w:rPr>
      </w:pPr>
      <w:r w:rsidRPr="00E858F8">
        <w:rPr>
          <w:sz w:val="28"/>
          <w:szCs w:val="28"/>
        </w:rPr>
        <w:t xml:space="preserve">Savukārt </w:t>
      </w:r>
      <w:r w:rsidRPr="00003BE4">
        <w:rPr>
          <w:sz w:val="28"/>
          <w:szCs w:val="28"/>
        </w:rPr>
        <w:t>KF KPK 46.p., kur noteiktas  aizdomās turētā tiesības ir norādīts, ka ‘’lemjot jautājumu par aizdomās turētā apcietināšanu</w:t>
      </w:r>
      <w:r w:rsidRPr="00E858F8">
        <w:rPr>
          <w:sz w:val="28"/>
          <w:szCs w:val="28"/>
        </w:rPr>
        <w:t xml:space="preserve">, saskaņā ar KF KPK 108.p., aizdomās turētajam ir tiesības  iepazīties ar materiāliem, kurus procesa virzītājs ir uzskatījis par iespējamu uzrādīt, lai pamatotu savu pozīciju. Bez tam, tiesai ir pienākums, saskaņā ar KF AT Plēnuma lēmums no 05.03.2004. p.11 ņemt vērā 45.panta prasības, kas </w:t>
      </w:r>
      <w:r w:rsidRPr="00E858F8">
        <w:rPr>
          <w:sz w:val="28"/>
          <w:szCs w:val="28"/>
        </w:rPr>
        <w:lastRenderedPageBreak/>
        <w:t xml:space="preserve">noteiktas KF Konstitūcijā, kas paredz aizstāvēt personas tiesības un brīvības. Tiesa nav tiesīga atteikt apmierināt aizdomās turētā un aizstāvja lūgumu par iepazīšanos ar lietas materiāliem.’’ </w:t>
      </w:r>
      <w:r w:rsidRPr="00E858F8">
        <w:rPr>
          <w:rStyle w:val="FootnoteReference"/>
          <w:sz w:val="28"/>
          <w:szCs w:val="28"/>
        </w:rPr>
        <w:footnoteReference w:id="21"/>
      </w:r>
    </w:p>
    <w:p w:rsidR="007A0BB2" w:rsidRPr="00E858F8" w:rsidRDefault="007A0BB2" w:rsidP="007A0BB2">
      <w:pPr>
        <w:ind w:firstLine="720"/>
        <w:jc w:val="both"/>
        <w:rPr>
          <w:sz w:val="28"/>
          <w:szCs w:val="28"/>
        </w:rPr>
      </w:pPr>
      <w:r w:rsidRPr="00003BE4">
        <w:rPr>
          <w:sz w:val="28"/>
          <w:szCs w:val="28"/>
        </w:rPr>
        <w:t>KF KPK 47.p. ir noteiktas apsūdzētā tiesības:</w:t>
      </w:r>
      <w:r w:rsidRPr="00E858F8">
        <w:rPr>
          <w:sz w:val="28"/>
          <w:szCs w:val="28"/>
        </w:rPr>
        <w:t xml:space="preserve"> 3.d. Apsūdzētajam ir tiesības aizstāvēt savas tiesības un likumiskās intereses un jābūt pietiekami laika un iespēju sagatavoties aizstāvībai.</w:t>
      </w:r>
      <w:r>
        <w:rPr>
          <w:sz w:val="28"/>
          <w:szCs w:val="28"/>
        </w:rPr>
        <w:t xml:space="preserve"> </w:t>
      </w:r>
      <w:r w:rsidRPr="00E858F8">
        <w:rPr>
          <w:sz w:val="28"/>
          <w:szCs w:val="28"/>
        </w:rPr>
        <w:t>‘’Apsūdzētajam ir tiesības lūgt iepazīties ar lietas materiāliem, kas ir iesniegti tiesā, lai pamatotu apcietinājuma piemērošanu, tā kā aizstāvēties ir iespējams tikai tad, kad ir zināmi apsūdzības argumenti .(KF AT Plēnuma lēmums no 05.03.2004. p.11).’’</w:t>
      </w:r>
      <w:r w:rsidRPr="00E858F8">
        <w:rPr>
          <w:rStyle w:val="FootnoteReference"/>
          <w:sz w:val="28"/>
          <w:szCs w:val="28"/>
        </w:rPr>
        <w:footnoteReference w:id="22"/>
      </w:r>
      <w:r>
        <w:rPr>
          <w:sz w:val="28"/>
          <w:szCs w:val="28"/>
        </w:rPr>
        <w:t xml:space="preserve"> Autors uzskata, ka šīs normas būtu pārņemamas Latvijas KPL, jo tās  sekmētu cilvēktiesību ievērošanu un tiesības uz aizstāvību .</w:t>
      </w:r>
    </w:p>
    <w:p w:rsidR="007A0BB2" w:rsidRDefault="007A0BB2" w:rsidP="007A0BB2">
      <w:pPr>
        <w:jc w:val="both"/>
        <w:rPr>
          <w:sz w:val="28"/>
          <w:szCs w:val="28"/>
        </w:rPr>
      </w:pPr>
      <w:r>
        <w:rPr>
          <w:sz w:val="28"/>
          <w:szCs w:val="28"/>
        </w:rPr>
        <w:t xml:space="preserve">2. </w:t>
      </w:r>
      <w:r w:rsidRPr="00161DB2">
        <w:rPr>
          <w:sz w:val="28"/>
          <w:szCs w:val="28"/>
        </w:rPr>
        <w:t>Tā tiks neievērota procesuālo pilnvaru līdzvērtība, kas noteikta KPL 18.p</w:t>
      </w:r>
      <w:r>
        <w:rPr>
          <w:sz w:val="28"/>
          <w:szCs w:val="28"/>
        </w:rPr>
        <w:t>antā</w:t>
      </w:r>
      <w:r w:rsidRPr="00161DB2">
        <w:rPr>
          <w:sz w:val="28"/>
          <w:szCs w:val="28"/>
        </w:rPr>
        <w:t xml:space="preserve">, jo netiks </w:t>
      </w:r>
      <w:r>
        <w:rPr>
          <w:sz w:val="28"/>
          <w:szCs w:val="28"/>
        </w:rPr>
        <w:t>nodrošināta</w:t>
      </w:r>
      <w:r w:rsidRPr="00161DB2">
        <w:rPr>
          <w:sz w:val="28"/>
          <w:szCs w:val="28"/>
        </w:rPr>
        <w:t xml:space="preserve"> </w:t>
      </w:r>
      <w:r>
        <w:rPr>
          <w:sz w:val="28"/>
          <w:szCs w:val="28"/>
        </w:rPr>
        <w:t>aizdomās turētās un apsūdzētās personas, kā arī  aizstāvības</w:t>
      </w:r>
      <w:r w:rsidRPr="00161DB2">
        <w:rPr>
          <w:sz w:val="28"/>
          <w:szCs w:val="28"/>
        </w:rPr>
        <w:t xml:space="preserve"> garantēto tiesību līdzvērtīga īstenošana. </w:t>
      </w:r>
    </w:p>
    <w:p w:rsidR="007A0BB2" w:rsidRDefault="007A0BB2" w:rsidP="007A0BB2">
      <w:pPr>
        <w:jc w:val="both"/>
        <w:rPr>
          <w:sz w:val="28"/>
          <w:szCs w:val="28"/>
        </w:rPr>
      </w:pPr>
      <w:r>
        <w:rPr>
          <w:sz w:val="28"/>
          <w:szCs w:val="28"/>
        </w:rPr>
        <w:t>3. T</w:t>
      </w:r>
      <w:r w:rsidRPr="00A233A4">
        <w:rPr>
          <w:sz w:val="28"/>
          <w:szCs w:val="28"/>
        </w:rPr>
        <w:t xml:space="preserve">iks pārkāpts ‘’taisnīgas tiesas </w:t>
      </w:r>
      <w:r>
        <w:rPr>
          <w:sz w:val="28"/>
          <w:szCs w:val="28"/>
        </w:rPr>
        <w:t xml:space="preserve">‘’ princips, kas ir ietverts </w:t>
      </w:r>
      <w:r w:rsidRPr="00A233A4">
        <w:rPr>
          <w:sz w:val="28"/>
          <w:szCs w:val="28"/>
        </w:rPr>
        <w:t>K</w:t>
      </w:r>
      <w:r>
        <w:rPr>
          <w:sz w:val="28"/>
          <w:szCs w:val="28"/>
        </w:rPr>
        <w:t>onvencijas 6.pantā.</w:t>
      </w:r>
    </w:p>
    <w:p w:rsidR="007A0BB2" w:rsidRPr="00A233A4" w:rsidRDefault="007A0BB2" w:rsidP="007A0BB2">
      <w:pPr>
        <w:ind w:firstLine="720"/>
        <w:jc w:val="both"/>
        <w:rPr>
          <w:sz w:val="28"/>
          <w:szCs w:val="28"/>
        </w:rPr>
      </w:pPr>
      <w:r w:rsidRPr="00A233A4">
        <w:rPr>
          <w:sz w:val="28"/>
          <w:szCs w:val="28"/>
        </w:rPr>
        <w:t xml:space="preserve">‘’Tas nosaka, ka procesā īpaši jāievēro </w:t>
      </w:r>
      <w:r w:rsidRPr="00A233A4">
        <w:rPr>
          <w:i/>
          <w:sz w:val="28"/>
          <w:szCs w:val="28"/>
        </w:rPr>
        <w:t>sacensības princips</w:t>
      </w:r>
      <w:r w:rsidRPr="00A233A4">
        <w:rPr>
          <w:sz w:val="28"/>
          <w:szCs w:val="28"/>
        </w:rPr>
        <w:t xml:space="preserve"> starp apcietināto personu un apsūdzības uzturētāju. Tātad , tāpat kā apsūdzības uzturētājam, arī apcietinātajam vai viņa aizstāvim jādod iespēja piedalīties tiesas sēdē līdzvērtīgā apjomā laika ziņā. Tāpat apsūdzības uzturētājam jāinformē apcietinātais vai viņa aizstāvis par apsūdzības puses viedokli un argumentiem, lai tiem būtu iespēja atbildēt uz šiem argumentiem un tādā veidā efektīvi atspēkot apsūdzības izvirzītos pamatojumus personas apcietinājumam. Bez tam aizstāvībai ir jābūt garantētai pieejai tiem lietas materiāliem, uz kuriem apsūdzības uzturētājs balsta savus argumentus.</w:t>
      </w:r>
    </w:p>
    <w:p w:rsidR="007A0BB2" w:rsidRPr="00A233A4" w:rsidRDefault="007A0BB2" w:rsidP="007A0BB2">
      <w:pPr>
        <w:ind w:firstLine="720"/>
        <w:jc w:val="both"/>
        <w:rPr>
          <w:sz w:val="28"/>
          <w:szCs w:val="28"/>
        </w:rPr>
      </w:pPr>
      <w:r w:rsidRPr="00A233A4">
        <w:rPr>
          <w:sz w:val="28"/>
          <w:szCs w:val="28"/>
        </w:rPr>
        <w:t>Tiesības uz tiesas procesu krimināllietā, kurā tiek ievērots sacīkstes princips, nozīmē to, ka gan apsūdzības uzturētājam, gan aizstāvībai ir jābūt iespējai būt informētiem par otras puses iesniegtajiem apsvērumiem un pierādījumiem un izteikt savu viedokli par tiem. Jebkurā gadījumā aizstāvībai obligāti jānodrošina pieeja apcietinājuma pārbaudes procesā ‘’būtiskajai’’ izziņas iestāžu informācijai.’’</w:t>
      </w:r>
      <w:r w:rsidRPr="001B2197">
        <w:rPr>
          <w:rStyle w:val="FootnoteReference"/>
          <w:sz w:val="28"/>
          <w:szCs w:val="28"/>
        </w:rPr>
        <w:footnoteReference w:id="23"/>
      </w:r>
    </w:p>
    <w:p w:rsidR="007A0BB2" w:rsidRPr="00E858F8" w:rsidRDefault="007A0BB2" w:rsidP="007A0BB2">
      <w:pPr>
        <w:ind w:firstLine="720"/>
        <w:jc w:val="both"/>
        <w:rPr>
          <w:sz w:val="28"/>
          <w:szCs w:val="28"/>
        </w:rPr>
      </w:pPr>
      <w:r>
        <w:rPr>
          <w:sz w:val="28"/>
          <w:szCs w:val="28"/>
        </w:rPr>
        <w:t>Augstāk minētā atziņa ir ietverta arī KF KPK 15.pantā- p</w:t>
      </w:r>
      <w:r w:rsidRPr="00E858F8">
        <w:rPr>
          <w:sz w:val="28"/>
          <w:szCs w:val="28"/>
        </w:rPr>
        <w:t>ušu s</w:t>
      </w:r>
      <w:r>
        <w:rPr>
          <w:sz w:val="28"/>
          <w:szCs w:val="28"/>
        </w:rPr>
        <w:t>acīkste</w:t>
      </w:r>
      <w:r w:rsidRPr="00E858F8">
        <w:rPr>
          <w:sz w:val="28"/>
          <w:szCs w:val="28"/>
        </w:rPr>
        <w:t xml:space="preserve"> 1.daļā</w:t>
      </w:r>
      <w:r>
        <w:rPr>
          <w:sz w:val="28"/>
          <w:szCs w:val="28"/>
        </w:rPr>
        <w:t xml:space="preserve"> ir noteikts, ka </w:t>
      </w:r>
      <w:r w:rsidRPr="00E858F8">
        <w:rPr>
          <w:sz w:val="28"/>
          <w:szCs w:val="28"/>
        </w:rPr>
        <w:t>kriminālprocesuālā tiesvedība noris pam</w:t>
      </w:r>
      <w:r>
        <w:rPr>
          <w:sz w:val="28"/>
          <w:szCs w:val="28"/>
        </w:rPr>
        <w:t>atojoties uz pušu sacīksti. 3.daļā</w:t>
      </w:r>
      <w:r w:rsidRPr="00E858F8">
        <w:rPr>
          <w:sz w:val="28"/>
          <w:szCs w:val="28"/>
        </w:rPr>
        <w:t xml:space="preserve"> ir noteikts, ka tiesa rada nepieciešamos apstākļus, lai puses varētu realizēt savas procesuālās tiesības un pienākumus. Pat</w:t>
      </w:r>
      <w:r>
        <w:rPr>
          <w:sz w:val="28"/>
          <w:szCs w:val="28"/>
        </w:rPr>
        <w:t>s būtiskākais ir paredzēts 4.daļā -</w:t>
      </w:r>
      <w:r w:rsidRPr="00E858F8">
        <w:rPr>
          <w:sz w:val="28"/>
          <w:szCs w:val="28"/>
        </w:rPr>
        <w:t xml:space="preserve"> apsūdzības un aizstāvības puses tiesas priekšā ir vienlīdzīgas. ‘’Tas nozīmē, ka puses </w:t>
      </w:r>
      <w:r w:rsidRPr="00E858F8">
        <w:rPr>
          <w:sz w:val="28"/>
          <w:szCs w:val="28"/>
        </w:rPr>
        <w:lastRenderedPageBreak/>
        <w:t>var izmantot vienādas tiesības iesniegt pierādījumus, piedalīties to izskatīšanā, izteikt lūgumus u.t.t. ‘’</w:t>
      </w:r>
      <w:r w:rsidRPr="00E858F8">
        <w:rPr>
          <w:rStyle w:val="FootnoteReference"/>
          <w:sz w:val="28"/>
          <w:szCs w:val="28"/>
        </w:rPr>
        <w:footnoteReference w:id="24"/>
      </w:r>
    </w:p>
    <w:p w:rsidR="007A0BB2" w:rsidRPr="00E858F8" w:rsidRDefault="007A0BB2" w:rsidP="007A0BB2">
      <w:pPr>
        <w:ind w:firstLine="720"/>
        <w:jc w:val="both"/>
        <w:rPr>
          <w:sz w:val="28"/>
          <w:szCs w:val="28"/>
        </w:rPr>
      </w:pPr>
      <w:r w:rsidRPr="00E858F8">
        <w:rPr>
          <w:sz w:val="28"/>
          <w:szCs w:val="28"/>
        </w:rPr>
        <w:t>Atziņa uz kuru autors vēlās vērst uzmanību ir sekojoša ‘’Sacīkstēšanās princips ir mūsdienīga  civilizēta procesa pamatā. ‘’</w:t>
      </w:r>
      <w:r w:rsidRPr="00E858F8">
        <w:rPr>
          <w:rStyle w:val="FootnoteReference"/>
          <w:sz w:val="28"/>
          <w:szCs w:val="28"/>
        </w:rPr>
        <w:footnoteReference w:id="25"/>
      </w:r>
      <w:r w:rsidRPr="00E858F8">
        <w:rPr>
          <w:sz w:val="28"/>
          <w:szCs w:val="28"/>
        </w:rPr>
        <w:t xml:space="preserve"> Citiem vārdiem sakot</w:t>
      </w:r>
      <w:r>
        <w:rPr>
          <w:sz w:val="28"/>
          <w:szCs w:val="28"/>
        </w:rPr>
        <w:t>,</w:t>
      </w:r>
      <w:r w:rsidRPr="00E858F8">
        <w:rPr>
          <w:sz w:val="28"/>
          <w:szCs w:val="28"/>
        </w:rPr>
        <w:t xml:space="preserve"> procesa pamatā ir pušu vienlīdzīga līdz pastāvēšana, kur pienākumi neprevalē pār tiesībām. </w:t>
      </w:r>
    </w:p>
    <w:p w:rsidR="007A0BB2" w:rsidRPr="001B2197" w:rsidRDefault="007A0BB2" w:rsidP="007A0BB2">
      <w:pPr>
        <w:ind w:firstLine="720"/>
        <w:jc w:val="both"/>
        <w:rPr>
          <w:sz w:val="28"/>
          <w:szCs w:val="28"/>
        </w:rPr>
      </w:pPr>
      <w:r w:rsidRPr="001B2197">
        <w:rPr>
          <w:sz w:val="28"/>
          <w:szCs w:val="28"/>
        </w:rPr>
        <w:t>Lai ievērotu fundamentālas aizdomās turētā</w:t>
      </w:r>
      <w:r>
        <w:rPr>
          <w:sz w:val="28"/>
          <w:szCs w:val="28"/>
        </w:rPr>
        <w:t>s</w:t>
      </w:r>
      <w:r w:rsidRPr="001B2197">
        <w:rPr>
          <w:sz w:val="28"/>
          <w:szCs w:val="28"/>
        </w:rPr>
        <w:t xml:space="preserve"> un apsūdzētā</w:t>
      </w:r>
      <w:r>
        <w:rPr>
          <w:sz w:val="28"/>
          <w:szCs w:val="28"/>
        </w:rPr>
        <w:t>s personas</w:t>
      </w:r>
      <w:r w:rsidRPr="001B2197">
        <w:rPr>
          <w:sz w:val="28"/>
          <w:szCs w:val="28"/>
        </w:rPr>
        <w:t xml:space="preserve"> tiesības uz aizstāvību, ņemot vērā ECTT p</w:t>
      </w:r>
      <w:r>
        <w:rPr>
          <w:sz w:val="28"/>
          <w:szCs w:val="28"/>
        </w:rPr>
        <w:t>raksi, ierosinu papildināt KPL 19.pantu</w:t>
      </w:r>
      <w:r w:rsidRPr="001B2197">
        <w:rPr>
          <w:sz w:val="28"/>
          <w:szCs w:val="28"/>
        </w:rPr>
        <w:t xml:space="preserve"> ar jaunu 4.daļu šādā redakcijā:</w:t>
      </w:r>
    </w:p>
    <w:p w:rsidR="007A0BB2" w:rsidRPr="001B2197" w:rsidRDefault="007A0BB2" w:rsidP="007A0BB2">
      <w:pPr>
        <w:jc w:val="both"/>
        <w:rPr>
          <w:i/>
          <w:sz w:val="28"/>
          <w:szCs w:val="28"/>
        </w:rPr>
      </w:pPr>
      <w:r w:rsidRPr="001B2197">
        <w:rPr>
          <w:i/>
          <w:sz w:val="28"/>
          <w:szCs w:val="28"/>
        </w:rPr>
        <w:t xml:space="preserve">(4) Kriminālprocesā iesaistītās personas savas procesuālās tiesības realizē sacīkstes formā. </w:t>
      </w:r>
    </w:p>
    <w:p w:rsidR="007A0BB2" w:rsidRDefault="007A0BB2" w:rsidP="007A0BB2">
      <w:pPr>
        <w:pStyle w:val="naispant"/>
        <w:spacing w:before="0" w:after="0"/>
        <w:ind w:left="0" w:firstLine="720"/>
        <w:rPr>
          <w:b w:val="0"/>
          <w:sz w:val="28"/>
          <w:szCs w:val="28"/>
          <w:lang w:val="lv-LV"/>
        </w:rPr>
      </w:pPr>
      <w:r>
        <w:rPr>
          <w:b w:val="0"/>
          <w:sz w:val="28"/>
          <w:szCs w:val="28"/>
          <w:lang w:val="lv-LV"/>
        </w:rPr>
        <w:t>Bez tam, Kriminālprocesa kodeksa 243.pantā bija ietverta norma, ka ‘’rīcības un tiesas sēdēs puses savas procesuālās tiesības realizē sacīkstes formā.’’</w:t>
      </w:r>
      <w:r>
        <w:rPr>
          <w:rStyle w:val="FootnoteReference"/>
          <w:b w:val="0"/>
          <w:sz w:val="28"/>
          <w:szCs w:val="28"/>
          <w:lang w:val="lv-LV"/>
        </w:rPr>
        <w:footnoteReference w:id="26"/>
      </w:r>
      <w:r>
        <w:rPr>
          <w:b w:val="0"/>
          <w:sz w:val="28"/>
          <w:szCs w:val="28"/>
          <w:lang w:val="lv-LV"/>
        </w:rPr>
        <w:t xml:space="preserve"> Rīcības sēdē tiesnesim bija tiesības izlemt jautājumu par drošības līdzekļa piemērošanu vai grozīšanu. Pēc analoģijas, sacīkstes princips būtu attiecināms arī uz drošības līdzekļu –apcietinājums un mājas arests, piemērošanu, kas  notiek tiesas sēdē un to izlemj izmeklēšanas tiesnesis. </w:t>
      </w:r>
    </w:p>
    <w:p w:rsidR="007A0BB2" w:rsidRPr="000B76EB" w:rsidRDefault="007A0BB2" w:rsidP="007A0BB2">
      <w:pPr>
        <w:pStyle w:val="naispant"/>
        <w:spacing w:before="0" w:after="0"/>
        <w:ind w:left="0" w:firstLine="720"/>
        <w:rPr>
          <w:b w:val="0"/>
          <w:sz w:val="28"/>
          <w:szCs w:val="28"/>
          <w:lang w:val="lv-LV"/>
        </w:rPr>
      </w:pPr>
      <w:r w:rsidRPr="001B2197">
        <w:rPr>
          <w:b w:val="0"/>
          <w:sz w:val="28"/>
          <w:szCs w:val="28"/>
          <w:lang w:val="lv-LV"/>
        </w:rPr>
        <w:t>Lai praksē starp kriminālprocesā iesaistītām personām nerastos domstarpības un pārpratumi interpretējot un piemērojot</w:t>
      </w:r>
      <w:r w:rsidRPr="001B2197">
        <w:rPr>
          <w:sz w:val="28"/>
          <w:szCs w:val="28"/>
          <w:lang w:val="lv-LV"/>
        </w:rPr>
        <w:t xml:space="preserve"> </w:t>
      </w:r>
      <w:r w:rsidRPr="001B2197">
        <w:rPr>
          <w:b w:val="0"/>
          <w:sz w:val="28"/>
          <w:szCs w:val="28"/>
          <w:lang w:val="lv-LV"/>
        </w:rPr>
        <w:t>KPL 246.p</w:t>
      </w:r>
      <w:r>
        <w:rPr>
          <w:b w:val="0"/>
          <w:sz w:val="28"/>
          <w:szCs w:val="28"/>
          <w:lang w:val="lv-LV"/>
        </w:rPr>
        <w:t xml:space="preserve">anta </w:t>
      </w:r>
      <w:r w:rsidRPr="001B2197">
        <w:rPr>
          <w:b w:val="0"/>
          <w:sz w:val="28"/>
          <w:szCs w:val="28"/>
          <w:lang w:val="lv-LV"/>
        </w:rPr>
        <w:t>1.</w:t>
      </w:r>
      <w:r>
        <w:rPr>
          <w:b w:val="0"/>
          <w:sz w:val="28"/>
          <w:szCs w:val="28"/>
          <w:lang w:val="lv-LV"/>
        </w:rPr>
        <w:t>daļu un 2.daļu</w:t>
      </w:r>
      <w:r w:rsidRPr="001B2197">
        <w:rPr>
          <w:b w:val="0"/>
          <w:sz w:val="28"/>
          <w:szCs w:val="28"/>
          <w:lang w:val="lv-LV"/>
        </w:rPr>
        <w:t xml:space="preserve">, </w:t>
      </w:r>
      <w:r>
        <w:rPr>
          <w:b w:val="0"/>
          <w:sz w:val="28"/>
          <w:szCs w:val="28"/>
          <w:lang w:val="lv-LV"/>
        </w:rPr>
        <w:t>autors ierosina</w:t>
      </w:r>
      <w:r w:rsidRPr="001B2197">
        <w:rPr>
          <w:b w:val="0"/>
          <w:sz w:val="28"/>
          <w:szCs w:val="28"/>
          <w:lang w:val="lv-LV"/>
        </w:rPr>
        <w:t xml:space="preserve"> izteikt </w:t>
      </w:r>
      <w:r w:rsidRPr="000B76EB">
        <w:rPr>
          <w:b w:val="0"/>
          <w:sz w:val="28"/>
          <w:szCs w:val="28"/>
          <w:lang w:val="lv-LV"/>
        </w:rPr>
        <w:t>KPL 246.panta 1.daļu šādā redakcijā</w:t>
      </w:r>
      <w:r>
        <w:rPr>
          <w:b w:val="0"/>
          <w:sz w:val="28"/>
          <w:szCs w:val="28"/>
          <w:lang w:val="lv-LV"/>
        </w:rPr>
        <w:t>, izslēdzot vārdu ‘’</w:t>
      </w:r>
      <w:r w:rsidRPr="000B76EB">
        <w:rPr>
          <w:b w:val="0"/>
          <w:sz w:val="28"/>
          <w:szCs w:val="28"/>
          <w:lang w:val="lv-LV"/>
        </w:rPr>
        <w:t>:</w:t>
      </w:r>
    </w:p>
    <w:p w:rsidR="007A0BB2" w:rsidRPr="001B2197" w:rsidRDefault="007A0BB2" w:rsidP="007A0BB2">
      <w:pPr>
        <w:pStyle w:val="naisf"/>
        <w:spacing w:before="0" w:beforeAutospacing="0" w:after="0" w:afterAutospacing="0"/>
        <w:jc w:val="both"/>
        <w:rPr>
          <w:sz w:val="28"/>
          <w:szCs w:val="28"/>
          <w:lang w:val="lv-LV"/>
        </w:rPr>
      </w:pPr>
      <w:r w:rsidRPr="001B2197">
        <w:rPr>
          <w:sz w:val="28"/>
          <w:szCs w:val="28"/>
          <w:lang w:val="lv-LV"/>
        </w:rPr>
        <w:t xml:space="preserve">(1) </w:t>
      </w:r>
      <w:r w:rsidRPr="001B2197">
        <w:rPr>
          <w:i/>
          <w:sz w:val="28"/>
          <w:szCs w:val="28"/>
          <w:lang w:val="lv-LV"/>
        </w:rPr>
        <w:t>Persona</w:t>
      </w:r>
      <w:r>
        <w:rPr>
          <w:i/>
          <w:sz w:val="28"/>
          <w:szCs w:val="28"/>
          <w:lang w:val="lv-LV"/>
        </w:rPr>
        <w:t>,</w:t>
      </w:r>
      <w:r w:rsidRPr="001B2197">
        <w:rPr>
          <w:i/>
          <w:sz w:val="28"/>
          <w:szCs w:val="28"/>
          <w:lang w:val="lv-LV"/>
        </w:rPr>
        <w:t xml:space="preserve"> kura piemēro procesuālo piespiedu līdzekli,</w:t>
      </w:r>
      <w:r w:rsidRPr="001B2197">
        <w:rPr>
          <w:sz w:val="28"/>
          <w:szCs w:val="28"/>
          <w:lang w:val="lv-LV"/>
        </w:rPr>
        <w:t xml:space="preserve"> informē personu, kurai piespiedu līdzeklis tiek piemērots, par pieņemto lēmumu, kā arī izskaidro piespiedu līdzekļa būtību, saturu, pārsūdzības kārtību un piespiedu līdzekļa neievērošanas sekas.</w:t>
      </w:r>
    </w:p>
    <w:p w:rsidR="007A0BB2" w:rsidRPr="001B2197" w:rsidRDefault="007A0BB2" w:rsidP="007A0BB2">
      <w:pPr>
        <w:pStyle w:val="naisf"/>
        <w:spacing w:before="0" w:beforeAutospacing="0" w:after="0" w:afterAutospacing="0"/>
        <w:jc w:val="both"/>
        <w:rPr>
          <w:sz w:val="28"/>
          <w:szCs w:val="28"/>
          <w:lang w:val="lv-LV"/>
        </w:rPr>
      </w:pPr>
      <w:r w:rsidRPr="001B2197">
        <w:rPr>
          <w:sz w:val="28"/>
          <w:szCs w:val="28"/>
          <w:lang w:val="lv-LV"/>
        </w:rPr>
        <w:t xml:space="preserve">vai </w:t>
      </w:r>
    </w:p>
    <w:p w:rsidR="007A0BB2" w:rsidRPr="001B2197" w:rsidRDefault="007A0BB2" w:rsidP="007A0BB2">
      <w:pPr>
        <w:pStyle w:val="naisf"/>
        <w:spacing w:before="0" w:beforeAutospacing="0" w:after="0" w:afterAutospacing="0"/>
        <w:jc w:val="both"/>
        <w:rPr>
          <w:sz w:val="28"/>
          <w:szCs w:val="28"/>
          <w:lang w:val="lv-LV"/>
        </w:rPr>
      </w:pPr>
      <w:r w:rsidRPr="001B2197">
        <w:rPr>
          <w:sz w:val="28"/>
          <w:szCs w:val="28"/>
          <w:lang w:val="lv-LV"/>
        </w:rPr>
        <w:t xml:space="preserve">(1) </w:t>
      </w:r>
      <w:r w:rsidRPr="001B2197">
        <w:rPr>
          <w:i/>
          <w:sz w:val="28"/>
          <w:szCs w:val="28"/>
          <w:lang w:val="lv-LV"/>
        </w:rPr>
        <w:t>Persona</w:t>
      </w:r>
      <w:r>
        <w:rPr>
          <w:i/>
          <w:sz w:val="28"/>
          <w:szCs w:val="28"/>
          <w:lang w:val="lv-LV"/>
        </w:rPr>
        <w:t>,</w:t>
      </w:r>
      <w:r w:rsidRPr="001B2197">
        <w:rPr>
          <w:i/>
          <w:sz w:val="28"/>
          <w:szCs w:val="28"/>
          <w:lang w:val="lv-LV"/>
        </w:rPr>
        <w:t xml:space="preserve"> kura pieņem lēmumu par procesuālā piespiedu līdzekļa piemērošanu, informē personu</w:t>
      </w:r>
      <w:r>
        <w:rPr>
          <w:i/>
          <w:sz w:val="28"/>
          <w:szCs w:val="28"/>
          <w:lang w:val="lv-LV"/>
        </w:rPr>
        <w:t>,</w:t>
      </w:r>
      <w:r w:rsidRPr="001B2197">
        <w:rPr>
          <w:i/>
          <w:sz w:val="28"/>
          <w:szCs w:val="28"/>
          <w:lang w:val="lv-LV"/>
        </w:rPr>
        <w:t xml:space="preserve"> kurai ir tiesības uz aizstāvību</w:t>
      </w:r>
      <w:r w:rsidRPr="001B2197">
        <w:rPr>
          <w:sz w:val="28"/>
          <w:szCs w:val="28"/>
          <w:lang w:val="lv-LV"/>
        </w:rPr>
        <w:t>, par pieņemto lēmumu, kā arī izskaidro piespiedu līdzekļa būtību, saturu, pārsūdzības kārtību un piespiedu līdzekļa neievērošanas sekas.</w:t>
      </w:r>
    </w:p>
    <w:p w:rsidR="007A0BB2" w:rsidRDefault="007A0BB2" w:rsidP="007A0BB2">
      <w:pPr>
        <w:pStyle w:val="naisf"/>
        <w:spacing w:before="0" w:beforeAutospacing="0" w:after="0" w:afterAutospacing="0"/>
        <w:ind w:firstLine="720"/>
        <w:jc w:val="both"/>
        <w:rPr>
          <w:sz w:val="28"/>
          <w:szCs w:val="28"/>
          <w:lang w:val="lv-LV"/>
        </w:rPr>
      </w:pPr>
      <w:r w:rsidRPr="001B2197">
        <w:rPr>
          <w:sz w:val="28"/>
          <w:szCs w:val="28"/>
          <w:lang w:val="lv-LV"/>
        </w:rPr>
        <w:t>Tiesu praksē ir vērojami dažādi pretrunīgi viedokļi par to</w:t>
      </w:r>
      <w:r>
        <w:rPr>
          <w:sz w:val="28"/>
          <w:szCs w:val="28"/>
          <w:lang w:val="lv-LV"/>
        </w:rPr>
        <w:t>, kā pareizi vajadzētu interpretēt un piemērot KPL 246.panta 1. un 2.daļu. Tādēļ autors ilustrēs paustos viedokļus, kas ir izteikti dažādos izmeklēšanas tiesnešu lēmumos:</w:t>
      </w:r>
    </w:p>
    <w:p w:rsidR="007A0BB2" w:rsidRPr="001B2197" w:rsidRDefault="007A0BB2" w:rsidP="007A0BB2">
      <w:pPr>
        <w:pStyle w:val="naisf"/>
        <w:spacing w:before="0" w:beforeAutospacing="0" w:after="0" w:afterAutospacing="0"/>
        <w:ind w:firstLine="720"/>
        <w:jc w:val="both"/>
        <w:rPr>
          <w:sz w:val="28"/>
          <w:szCs w:val="28"/>
          <w:lang w:val="lv-LV"/>
        </w:rPr>
      </w:pPr>
      <w:r>
        <w:rPr>
          <w:sz w:val="28"/>
          <w:szCs w:val="28"/>
          <w:lang w:val="lv-LV"/>
        </w:rPr>
        <w:t xml:space="preserve">Rīgas apgabaltiesa, turpmāk tekstā </w:t>
      </w:r>
      <w:r w:rsidRPr="001B2197">
        <w:rPr>
          <w:sz w:val="28"/>
          <w:szCs w:val="28"/>
          <w:lang w:val="lv-LV"/>
        </w:rPr>
        <w:t>RAT</w:t>
      </w:r>
      <w:r>
        <w:rPr>
          <w:sz w:val="28"/>
          <w:szCs w:val="28"/>
          <w:lang w:val="lv-LV"/>
        </w:rPr>
        <w:t>,</w:t>
      </w:r>
      <w:r w:rsidRPr="001B2197">
        <w:rPr>
          <w:sz w:val="28"/>
          <w:szCs w:val="28"/>
          <w:lang w:val="lv-LV"/>
        </w:rPr>
        <w:t xml:space="preserve"> </w:t>
      </w:r>
      <w:r w:rsidRPr="00A21CE0">
        <w:rPr>
          <w:sz w:val="28"/>
          <w:szCs w:val="28"/>
          <w:lang w:val="lv-LV"/>
        </w:rPr>
        <w:t>14.05.2007.</w:t>
      </w:r>
      <w:r w:rsidRPr="001B2197">
        <w:rPr>
          <w:sz w:val="28"/>
          <w:szCs w:val="28"/>
          <w:lang w:val="lv-LV"/>
        </w:rPr>
        <w:t xml:space="preserve"> ir skatījusi aizstāvju sūdzības par to vai ir pamatoti aizdomās turē</w:t>
      </w:r>
      <w:r>
        <w:rPr>
          <w:sz w:val="28"/>
          <w:szCs w:val="28"/>
          <w:lang w:val="lv-LV"/>
        </w:rPr>
        <w:t>tajam A.</w:t>
      </w:r>
      <w:r w:rsidRPr="001B2197">
        <w:rPr>
          <w:sz w:val="28"/>
          <w:szCs w:val="28"/>
          <w:lang w:val="lv-LV"/>
        </w:rPr>
        <w:t xml:space="preserve"> turpmāk piemērot apcietinājumu lietā nr.12812003205</w:t>
      </w:r>
      <w:r>
        <w:rPr>
          <w:sz w:val="28"/>
          <w:szCs w:val="28"/>
          <w:lang w:val="lv-LV"/>
        </w:rPr>
        <w:t>.</w:t>
      </w:r>
      <w:r w:rsidRPr="001B2197">
        <w:rPr>
          <w:sz w:val="28"/>
          <w:szCs w:val="28"/>
          <w:lang w:val="lv-LV"/>
        </w:rPr>
        <w:t xml:space="preserve"> Ņemot vērā, ka aizstāvji </w:t>
      </w:r>
      <w:r w:rsidRPr="001B2197">
        <w:rPr>
          <w:sz w:val="28"/>
          <w:szCs w:val="28"/>
          <w:lang w:val="lv-LV"/>
        </w:rPr>
        <w:lastRenderedPageBreak/>
        <w:t>savās sūdzībās nor</w:t>
      </w:r>
      <w:r>
        <w:rPr>
          <w:sz w:val="28"/>
          <w:szCs w:val="28"/>
          <w:lang w:val="lv-LV"/>
        </w:rPr>
        <w:t>ādīja, ka ir pārkāptas aizdomās turētās personas</w:t>
      </w:r>
      <w:r w:rsidRPr="001B2197">
        <w:rPr>
          <w:sz w:val="28"/>
          <w:szCs w:val="28"/>
          <w:lang w:val="lv-LV"/>
        </w:rPr>
        <w:t xml:space="preserve">  tiesības uz aizstāvību, tiesības iepazīties ar lietas materiāliem, tā pārkāpjot KPL 18</w:t>
      </w:r>
      <w:r>
        <w:rPr>
          <w:sz w:val="28"/>
          <w:szCs w:val="28"/>
          <w:lang w:val="lv-LV"/>
        </w:rPr>
        <w:t>.pantu</w:t>
      </w:r>
      <w:r w:rsidRPr="001B2197">
        <w:rPr>
          <w:sz w:val="28"/>
          <w:szCs w:val="28"/>
          <w:lang w:val="lv-LV"/>
        </w:rPr>
        <w:t xml:space="preserve"> noteikto procesuālo pilnvaru līdzvērtības principu, tiesa pauda sekojošu viedokli šajos jautājumos, ‘</w:t>
      </w:r>
      <w:r>
        <w:rPr>
          <w:sz w:val="28"/>
          <w:szCs w:val="28"/>
          <w:lang w:val="lv-LV"/>
        </w:rPr>
        <w:t>’tiesa atsaucoties uz KPL 246.panat 2.daļu</w:t>
      </w:r>
      <w:r w:rsidRPr="001B2197">
        <w:rPr>
          <w:sz w:val="28"/>
          <w:szCs w:val="28"/>
          <w:lang w:val="lv-LV"/>
        </w:rPr>
        <w:t xml:space="preserve">, secina, ka no minētā </w:t>
      </w:r>
      <w:r>
        <w:rPr>
          <w:sz w:val="28"/>
          <w:szCs w:val="28"/>
          <w:lang w:val="lv-LV"/>
        </w:rPr>
        <w:t xml:space="preserve">panta </w:t>
      </w:r>
      <w:r w:rsidRPr="001B2197">
        <w:rPr>
          <w:sz w:val="28"/>
          <w:szCs w:val="28"/>
          <w:lang w:val="lv-LV"/>
        </w:rPr>
        <w:t>izriet, ka likums paredz personai, kura īsteno tiesības uz aizstāvību, tajā kriminālprocesa stadijā, kad tiek uzsākta procesuālā piespiedu līdzekļa piemērošana, tiesības iepazīties ar procesuālajiem dokumentiem, kuros fiksētas ziņas par faktiem izmantotas, lai pamatotu procesuālā piespiedu līdzekļa piemērošanu, proti, konkrētajā gadījumā aizstāvība norādīja, ka šie dokumenti ir ierosinājums par apcietinājuma piemērošanu un pielikumi 9 dokumenti, kā arī VHS un CD formātā. No KPL 246.p.2. izriet, ka laiku, kad persona šīs tiesības var realizēt, neapdraudot pirmstiesas izmeklēšanu vai citas svarīgas intereses, nosaka procesa virzītājs. Līdz ar to, iepazīstināšana ar procesuālajiem dokumentiem šajā kriminālprocesa stadijā nav tiesas pienākums.’’</w:t>
      </w:r>
    </w:p>
    <w:p w:rsidR="007A0BB2" w:rsidRPr="001B2197" w:rsidRDefault="007A0BB2" w:rsidP="007A0BB2">
      <w:pPr>
        <w:ind w:firstLine="720"/>
        <w:jc w:val="both"/>
        <w:rPr>
          <w:sz w:val="28"/>
          <w:szCs w:val="28"/>
        </w:rPr>
      </w:pPr>
      <w:r w:rsidRPr="001B2197">
        <w:rPr>
          <w:sz w:val="28"/>
          <w:szCs w:val="28"/>
        </w:rPr>
        <w:t>Rīgas pilsēt</w:t>
      </w:r>
      <w:r>
        <w:rPr>
          <w:sz w:val="28"/>
          <w:szCs w:val="28"/>
        </w:rPr>
        <w:t>as Centra rajona izmeklēšanas tiesnesis</w:t>
      </w:r>
      <w:r w:rsidRPr="001B2197">
        <w:rPr>
          <w:sz w:val="28"/>
          <w:szCs w:val="28"/>
        </w:rPr>
        <w:t xml:space="preserve"> </w:t>
      </w:r>
      <w:r w:rsidRPr="00700D4C">
        <w:rPr>
          <w:sz w:val="28"/>
          <w:szCs w:val="28"/>
        </w:rPr>
        <w:t>09.08.2007.</w:t>
      </w:r>
      <w:r>
        <w:rPr>
          <w:sz w:val="28"/>
          <w:szCs w:val="28"/>
        </w:rPr>
        <w:t xml:space="preserve"> ir skatījis</w:t>
      </w:r>
      <w:r w:rsidRPr="001B2197">
        <w:rPr>
          <w:sz w:val="28"/>
          <w:szCs w:val="28"/>
        </w:rPr>
        <w:t xml:space="preserve"> aizstāvja sūdzību par to vai ir pamato</w:t>
      </w:r>
      <w:r>
        <w:rPr>
          <w:sz w:val="28"/>
          <w:szCs w:val="28"/>
        </w:rPr>
        <w:t>ti aizdomās turētajam A.</w:t>
      </w:r>
      <w:r w:rsidRPr="001B2197">
        <w:rPr>
          <w:sz w:val="28"/>
          <w:szCs w:val="28"/>
        </w:rPr>
        <w:t xml:space="preserve"> turpmāk piemērot mājas arestu, ir paudis sekojošu  viedokli par tiesībām iepazīties ar procesuālajiem dokumentiem, kuros fiksētas ziņas par faktiem izmantotas, lai pamatotu procesuālā piespiedu līdzekļa piemēroša</w:t>
      </w:r>
      <w:r>
        <w:rPr>
          <w:sz w:val="28"/>
          <w:szCs w:val="28"/>
        </w:rPr>
        <w:t>nu. Tiesa secina</w:t>
      </w:r>
      <w:r w:rsidRPr="001B2197">
        <w:rPr>
          <w:sz w:val="28"/>
          <w:szCs w:val="28"/>
        </w:rPr>
        <w:t>,</w:t>
      </w:r>
      <w:r>
        <w:rPr>
          <w:sz w:val="28"/>
          <w:szCs w:val="28"/>
        </w:rPr>
        <w:t xml:space="preserve"> ka ‘’t</w:t>
      </w:r>
      <w:r w:rsidRPr="001B2197">
        <w:rPr>
          <w:sz w:val="28"/>
          <w:szCs w:val="28"/>
        </w:rPr>
        <w:t>iesas sēdē izteiktie argumenti par iespējamiem KPL 246.p.2.d. pārkāpumiem izlemjami likumā noteiktā kārtībā un nav izvērtējami lemjot izskatāmos pieteikumus un ierosinājumus.’’</w:t>
      </w:r>
    </w:p>
    <w:p w:rsidR="007A0BB2" w:rsidRPr="001B2197" w:rsidRDefault="007A0BB2" w:rsidP="007A0BB2">
      <w:pPr>
        <w:ind w:firstLine="720"/>
        <w:jc w:val="both"/>
        <w:rPr>
          <w:sz w:val="28"/>
          <w:szCs w:val="28"/>
        </w:rPr>
      </w:pPr>
      <w:r w:rsidRPr="00596F93">
        <w:rPr>
          <w:sz w:val="28"/>
          <w:szCs w:val="28"/>
        </w:rPr>
        <w:t xml:space="preserve">25.01.2008. </w:t>
      </w:r>
      <w:r w:rsidRPr="001B2197">
        <w:rPr>
          <w:sz w:val="28"/>
          <w:szCs w:val="28"/>
        </w:rPr>
        <w:t xml:space="preserve">Ventspils </w:t>
      </w:r>
      <w:r>
        <w:rPr>
          <w:sz w:val="28"/>
          <w:szCs w:val="28"/>
        </w:rPr>
        <w:t>izmeklēšanas tiesnesis</w:t>
      </w:r>
      <w:r w:rsidRPr="001B2197">
        <w:rPr>
          <w:sz w:val="28"/>
          <w:szCs w:val="28"/>
        </w:rPr>
        <w:t xml:space="preserve"> skata jautājumu par mājas aresta turpmākas piemērošanas </w:t>
      </w:r>
      <w:r>
        <w:rPr>
          <w:sz w:val="28"/>
          <w:szCs w:val="28"/>
        </w:rPr>
        <w:t>nepieciešamības izvērtēšanu A.,</w:t>
      </w:r>
      <w:r w:rsidRPr="001B2197">
        <w:rPr>
          <w:sz w:val="28"/>
          <w:szCs w:val="28"/>
        </w:rPr>
        <w:t xml:space="preserve"> </w:t>
      </w:r>
      <w:r>
        <w:rPr>
          <w:sz w:val="28"/>
          <w:szCs w:val="28"/>
        </w:rPr>
        <w:t xml:space="preserve">tiesa konstatē sekojošu, ‘’apsūdzētais A. </w:t>
      </w:r>
      <w:r w:rsidRPr="001B2197">
        <w:rPr>
          <w:sz w:val="28"/>
          <w:szCs w:val="28"/>
        </w:rPr>
        <w:t xml:space="preserve">norāda, ka aizstāvības pusei netiek iesniegti procesuālie dokumenti, viņiem nav iespēja sevi pilnvērtīgi aizstāvēt un viņam arī nebūtu jāpierāda tas, ko viņš nav darījis. Tiek ierobežotas viņa cilvēktiesības, jo procesā netiek ievērots vienlīdzības princips.’’ Uzklausot </w:t>
      </w:r>
      <w:r>
        <w:rPr>
          <w:sz w:val="28"/>
          <w:szCs w:val="28"/>
        </w:rPr>
        <w:t>puses, tiesa secina, ‘’a</w:t>
      </w:r>
      <w:r w:rsidRPr="001B2197">
        <w:rPr>
          <w:sz w:val="28"/>
          <w:szCs w:val="28"/>
        </w:rPr>
        <w:t>izstāvības puses teiktajam, ka viņi netiek iepazīstināti ar procesuālajiem dokumentiem, ar kuriem tiek pamatota drošības līdzekļa piemērošanas nepieciešamība vai turpināšana, tiesnese atzīmē, ka šis jautājums izskatīts vairākās tiesas sēdēs un vēlreiz atgādina, ka attiecīgās pilnvaras –iepazīstināt  vai nē ar procesuālajiem dokumentiem, KPL piešķir procesa virzītājam.’’</w:t>
      </w:r>
    </w:p>
    <w:p w:rsidR="007A0BB2" w:rsidRDefault="007A0BB2" w:rsidP="007A0BB2">
      <w:pPr>
        <w:ind w:firstLine="720"/>
        <w:jc w:val="both"/>
        <w:rPr>
          <w:sz w:val="28"/>
          <w:szCs w:val="28"/>
        </w:rPr>
      </w:pPr>
      <w:r>
        <w:rPr>
          <w:sz w:val="28"/>
          <w:szCs w:val="28"/>
        </w:rPr>
        <w:t xml:space="preserve">Analizējot augstāk minētos lēmumus, jāsecina, ka praksē izveidojas duāla situācija, no vienas puses KPL uzliek tiesai par pienākumu būt objektīvai un ievērot taisnīguma principu, bet no otras puses KPL nedeleģē tiesības lemt jautājumu vai personai kurai ir tiesības uz aizstāvību ir tiesības iepazīties ar procesuālajiem dokumentiem, kuros fiksētas ziņas par faktiem izmantotas, lai pamatotu apcietinājuma vai </w:t>
      </w:r>
      <w:r>
        <w:rPr>
          <w:sz w:val="28"/>
          <w:szCs w:val="28"/>
        </w:rPr>
        <w:lastRenderedPageBreak/>
        <w:t>mājas aresta piemērošanu. Autors uzskata, lai taisnīguma principam nebūtu deklaratīvs raksturs, būtu apspriežams jautājums par izmeklēšanas tiesnešu funkciju paplašināšanu, kas nodrošinātu cilvēktiesību ievērošanu.</w:t>
      </w:r>
    </w:p>
    <w:p w:rsidR="007A0BB2" w:rsidRPr="00700D4C" w:rsidRDefault="007A0BB2" w:rsidP="007A0BB2">
      <w:pPr>
        <w:ind w:firstLine="720"/>
        <w:jc w:val="both"/>
        <w:rPr>
          <w:sz w:val="28"/>
          <w:szCs w:val="28"/>
        </w:rPr>
      </w:pPr>
      <w:r w:rsidRPr="001B2197">
        <w:rPr>
          <w:sz w:val="28"/>
          <w:szCs w:val="28"/>
        </w:rPr>
        <w:t xml:space="preserve">Savukārt </w:t>
      </w:r>
      <w:r>
        <w:rPr>
          <w:sz w:val="28"/>
          <w:szCs w:val="28"/>
        </w:rPr>
        <w:t>Ventspils izmeklēšanas</w:t>
      </w:r>
      <w:r w:rsidRPr="00700D4C">
        <w:rPr>
          <w:sz w:val="28"/>
          <w:szCs w:val="28"/>
        </w:rPr>
        <w:t xml:space="preserve"> tiesnesis</w:t>
      </w:r>
      <w:r w:rsidRPr="001B2197">
        <w:rPr>
          <w:sz w:val="28"/>
          <w:szCs w:val="28"/>
        </w:rPr>
        <w:t xml:space="preserve">, kas  ir </w:t>
      </w:r>
      <w:r w:rsidRPr="00700D4C">
        <w:rPr>
          <w:sz w:val="28"/>
          <w:szCs w:val="28"/>
        </w:rPr>
        <w:t>skatījis 23.11.2007.</w:t>
      </w:r>
      <w:r w:rsidRPr="001B2197">
        <w:rPr>
          <w:sz w:val="28"/>
          <w:szCs w:val="28"/>
        </w:rPr>
        <w:t xml:space="preserve"> aizstāvja sūdzību par to vai ir </w:t>
      </w:r>
      <w:r>
        <w:rPr>
          <w:sz w:val="28"/>
          <w:szCs w:val="28"/>
        </w:rPr>
        <w:t>pamatoti aizdomās turētajam A.</w:t>
      </w:r>
      <w:r w:rsidRPr="001B2197">
        <w:rPr>
          <w:sz w:val="28"/>
          <w:szCs w:val="28"/>
        </w:rPr>
        <w:t xml:space="preserve"> turpmāk piemērot mājas arestu, ir paudis sekojošu  viedokli par tiesībām iepazīties ar procesuālajiem dokumentiem, kuros fiksētas ziņas par faktiem izmantotas, lai pamatotu procesuālā piespiedu līdzekļa piemērošanu. Tiesa</w:t>
      </w:r>
      <w:r>
        <w:rPr>
          <w:sz w:val="28"/>
          <w:szCs w:val="28"/>
        </w:rPr>
        <w:t xml:space="preserve"> </w:t>
      </w:r>
      <w:r w:rsidRPr="001B2197">
        <w:rPr>
          <w:sz w:val="28"/>
          <w:szCs w:val="28"/>
        </w:rPr>
        <w:t>norāda</w:t>
      </w:r>
      <w:r>
        <w:rPr>
          <w:sz w:val="28"/>
          <w:szCs w:val="28"/>
        </w:rPr>
        <w:t>, ka</w:t>
      </w:r>
      <w:r w:rsidRPr="001B2197">
        <w:rPr>
          <w:sz w:val="28"/>
          <w:szCs w:val="28"/>
        </w:rPr>
        <w:t xml:space="preserve"> </w:t>
      </w:r>
      <w:r>
        <w:rPr>
          <w:sz w:val="28"/>
          <w:szCs w:val="28"/>
        </w:rPr>
        <w:t>‘’v</w:t>
      </w:r>
      <w:r w:rsidRPr="00700D4C">
        <w:rPr>
          <w:sz w:val="28"/>
          <w:szCs w:val="28"/>
        </w:rPr>
        <w:t xml:space="preserve">ienlaikus tiesnesis vērš procesa virzītāja uzmanību, ka turpinot aizliegt personai, kura īsteno tiesības uz aizstāvību, iepazīties ar procesuālajiem dokumentiem, kuros fiksētas ziņas par faktiem izmantotas, lai pamatotu procesuālā piespiedu līdzekļa piemērošanu pirmstiesas izmeklēšanas stadijā var nonākt pretrunā ar </w:t>
      </w:r>
      <w:r>
        <w:rPr>
          <w:sz w:val="28"/>
          <w:szCs w:val="28"/>
        </w:rPr>
        <w:t>Konvencijā</w:t>
      </w:r>
      <w:r w:rsidRPr="00700D4C">
        <w:rPr>
          <w:sz w:val="28"/>
          <w:szCs w:val="28"/>
        </w:rPr>
        <w:t xml:space="preserve"> nostiprinātajām vienlīdzīgu iespēju principam, jo leģitīmais mērķis nevar tikt īstenots, uzliekot būtiskus ierobežojumus aizstāvības tiesībām.’’</w:t>
      </w:r>
    </w:p>
    <w:p w:rsidR="007A0BB2" w:rsidRPr="001B2197" w:rsidRDefault="007A0BB2" w:rsidP="007A0BB2">
      <w:pPr>
        <w:pStyle w:val="naisf"/>
        <w:spacing w:before="0" w:beforeAutospacing="0" w:after="0" w:afterAutospacing="0"/>
        <w:ind w:firstLine="720"/>
        <w:jc w:val="both"/>
        <w:rPr>
          <w:sz w:val="28"/>
          <w:szCs w:val="28"/>
          <w:lang w:val="lv-LV"/>
        </w:rPr>
      </w:pPr>
      <w:r>
        <w:rPr>
          <w:sz w:val="28"/>
          <w:szCs w:val="28"/>
          <w:lang w:val="lv-LV"/>
        </w:rPr>
        <w:t xml:space="preserve">Analizējot šo </w:t>
      </w:r>
      <w:r w:rsidRPr="001B2197">
        <w:rPr>
          <w:sz w:val="28"/>
          <w:szCs w:val="28"/>
          <w:lang w:val="lv-LV"/>
        </w:rPr>
        <w:t xml:space="preserve">tiesas lēmumu, jāsecina, ka </w:t>
      </w:r>
      <w:r>
        <w:rPr>
          <w:sz w:val="28"/>
          <w:szCs w:val="28"/>
          <w:lang w:val="lv-LV"/>
        </w:rPr>
        <w:t>izmeklēšanas tiesnesis ir saskatījis apsūdzētās personas cilvēktiesību ierobežošanu, liedzot apsūdzētajam</w:t>
      </w:r>
      <w:r w:rsidRPr="001B2197">
        <w:rPr>
          <w:sz w:val="28"/>
          <w:szCs w:val="28"/>
          <w:lang w:val="lv-LV"/>
        </w:rPr>
        <w:t xml:space="preserve"> izmantot savas tiesības uz aizstāvību.  </w:t>
      </w:r>
    </w:p>
    <w:p w:rsidR="007A0BB2" w:rsidRPr="001B2197" w:rsidRDefault="007A0BB2" w:rsidP="007A0BB2">
      <w:pPr>
        <w:pStyle w:val="naisf"/>
        <w:spacing w:before="0" w:beforeAutospacing="0" w:after="0" w:afterAutospacing="0"/>
        <w:ind w:firstLine="720"/>
        <w:jc w:val="both"/>
        <w:rPr>
          <w:sz w:val="28"/>
          <w:szCs w:val="28"/>
          <w:lang w:val="lv-LV"/>
        </w:rPr>
      </w:pPr>
      <w:r w:rsidRPr="00700D4C">
        <w:rPr>
          <w:sz w:val="28"/>
          <w:szCs w:val="28"/>
          <w:lang w:val="lv-LV"/>
        </w:rPr>
        <w:t>13.12.2007. Kurzemes apgabaltiesa</w:t>
      </w:r>
      <w:r w:rsidRPr="001B2197">
        <w:rPr>
          <w:sz w:val="28"/>
          <w:szCs w:val="28"/>
          <w:lang w:val="lv-LV"/>
        </w:rPr>
        <w:t xml:space="preserve"> iz</w:t>
      </w:r>
      <w:r>
        <w:rPr>
          <w:sz w:val="28"/>
          <w:szCs w:val="28"/>
          <w:lang w:val="lv-LV"/>
        </w:rPr>
        <w:t>skatot prokurora protestu par apcietinājuma</w:t>
      </w:r>
      <w:r w:rsidRPr="00EC6F74">
        <w:rPr>
          <w:sz w:val="28"/>
          <w:szCs w:val="28"/>
          <w:lang w:val="lv-LV"/>
        </w:rPr>
        <w:t xml:space="preserve"> </w:t>
      </w:r>
      <w:r>
        <w:rPr>
          <w:sz w:val="28"/>
          <w:szCs w:val="28"/>
          <w:lang w:val="lv-LV"/>
        </w:rPr>
        <w:t>nepiemērošanu un apsūdzētā sūdzību</w:t>
      </w:r>
      <w:r w:rsidRPr="001B2197">
        <w:rPr>
          <w:sz w:val="28"/>
          <w:szCs w:val="28"/>
          <w:lang w:val="lv-LV"/>
        </w:rPr>
        <w:t>, konstatēja</w:t>
      </w:r>
      <w:r>
        <w:rPr>
          <w:sz w:val="28"/>
          <w:szCs w:val="28"/>
          <w:lang w:val="lv-LV"/>
        </w:rPr>
        <w:t xml:space="preserve"> sekojošo </w:t>
      </w:r>
      <w:r w:rsidRPr="001B2197">
        <w:rPr>
          <w:sz w:val="28"/>
          <w:szCs w:val="28"/>
          <w:lang w:val="lv-LV"/>
        </w:rPr>
        <w:t>‘’Attiecībā uz apsūdzētā</w:t>
      </w:r>
      <w:r>
        <w:rPr>
          <w:sz w:val="28"/>
          <w:szCs w:val="28"/>
          <w:lang w:val="lv-LV"/>
        </w:rPr>
        <w:t xml:space="preserve"> A. </w:t>
      </w:r>
      <w:r w:rsidRPr="001B2197">
        <w:rPr>
          <w:sz w:val="28"/>
          <w:szCs w:val="28"/>
          <w:lang w:val="lv-LV"/>
        </w:rPr>
        <w:t>pieteikto lūgumu iepazīstināt viņu un aizstāvi ar krimināllietas esošiem pierādījumiem, saskaņā ar KPL 246.p.2.d., kas nosaka, ka persona, kura īsteno tiesības uz aizstāvību, ir tiesīga iepazīties ar procesuālajiem dokumentiem, kuros fiksētās ziņas par faktiem izmantotas, lai pamatotu procesuālā piespiedu līdzekļa piemērošanu ir nepamatots, jo likuma pants neparedz iepazīstināšanu ar pierādījumiem, bet paredz iepazīstināšanu ar procesuālajiem dokumentiem.</w:t>
      </w:r>
    </w:p>
    <w:p w:rsidR="007A0BB2" w:rsidRPr="001B2197" w:rsidRDefault="007A0BB2" w:rsidP="007A0BB2">
      <w:pPr>
        <w:pStyle w:val="naisf"/>
        <w:spacing w:before="0" w:beforeAutospacing="0" w:after="0" w:afterAutospacing="0"/>
        <w:jc w:val="both"/>
        <w:rPr>
          <w:sz w:val="28"/>
          <w:szCs w:val="28"/>
          <w:lang w:val="lv-LV"/>
        </w:rPr>
      </w:pPr>
      <w:r w:rsidRPr="001B2197">
        <w:rPr>
          <w:sz w:val="28"/>
          <w:szCs w:val="28"/>
          <w:lang w:val="lv-LV"/>
        </w:rPr>
        <w:t>Bez tam, šajā pantā ir noteikts, ja šāda iepazīstināšana apdraud pirmstiesas izmeklēšanu vai arī trešajai personai vai sabiedrībai svarīgas intereses, ar procesa virzītāja lēmumu to var atlikt līdz attiecīgā apdraudējuma novēršanai. Šajā sakarā ir pieņemti trīs procesa virzītāja lēmumi: 06.06.2007., 03.08.2007. un 05.09.2007. ar kuriem daļēji atlikta iepazīstināšana ar procesuālajiem dokumentiem</w:t>
      </w:r>
    </w:p>
    <w:p w:rsidR="007A0BB2" w:rsidRPr="00700D4C" w:rsidRDefault="007A0BB2" w:rsidP="007A0BB2">
      <w:pPr>
        <w:ind w:firstLine="720"/>
        <w:jc w:val="both"/>
        <w:rPr>
          <w:sz w:val="28"/>
          <w:szCs w:val="28"/>
        </w:rPr>
      </w:pPr>
      <w:r w:rsidRPr="001B2197">
        <w:rPr>
          <w:sz w:val="28"/>
          <w:szCs w:val="28"/>
        </w:rPr>
        <w:t xml:space="preserve">Tiesa uzskata, ka procesa virzītāja lēmumi ir vispārīgi, nekonkrēti un nav pietiekoši motivēti un argumentēti, bez tam iepazīstoties ar procesuālajiem dokumentiem ir konstatēti arī citi fakti, kas dot pamatu atzīt, ka </w:t>
      </w:r>
      <w:r w:rsidRPr="00700D4C">
        <w:rPr>
          <w:sz w:val="28"/>
          <w:szCs w:val="28"/>
        </w:rPr>
        <w:t>izmeklēšanas tiesneša lēmumā pamatoti tiek norādīts, ka tiek vērsta procesa virzītāja uzmanība, kas gan būtu precizējama: turpinot aizliegt personai, kura īsteno tiesības uz aizstāvību, nepilnīgi iepazīties ar procesuālajiem dokumentiem, kuros fiksētas ziņas par faktiem izmantotas, lai pamatotu procesuālā piespiedu līdzekļa piemērošanu pirmstiesas izmeklēšanas stadijā var n</w:t>
      </w:r>
      <w:r>
        <w:rPr>
          <w:sz w:val="28"/>
          <w:szCs w:val="28"/>
        </w:rPr>
        <w:t>onākt pretrunā ar K</w:t>
      </w:r>
      <w:r w:rsidRPr="00700D4C">
        <w:rPr>
          <w:sz w:val="28"/>
          <w:szCs w:val="28"/>
        </w:rPr>
        <w:t xml:space="preserve">onvencijā </w:t>
      </w:r>
      <w:r w:rsidRPr="00700D4C">
        <w:rPr>
          <w:sz w:val="28"/>
          <w:szCs w:val="28"/>
        </w:rPr>
        <w:lastRenderedPageBreak/>
        <w:t>nostiprināto vienlīdzīgu iespēju principu, jo leģitīmais mērķis nevar tikt īstenots uzliekot būtiskus ierobežojumus aizstāvības tiesībām.</w:t>
      </w:r>
    </w:p>
    <w:p w:rsidR="007A0BB2" w:rsidRPr="00700D4C" w:rsidRDefault="007A0BB2" w:rsidP="007A0BB2">
      <w:pPr>
        <w:ind w:firstLine="720"/>
        <w:jc w:val="both"/>
        <w:rPr>
          <w:sz w:val="28"/>
          <w:szCs w:val="28"/>
        </w:rPr>
      </w:pPr>
      <w:r w:rsidRPr="00700D4C">
        <w:rPr>
          <w:sz w:val="28"/>
          <w:szCs w:val="28"/>
        </w:rPr>
        <w:t>Tiesa norāda, ka Konvencijas 5.panta 4.punkts nosaka nodrošināt vienlīdzīgu iespēju pusēm iepazīties ar lietas materiāliem un nepareizs ir procesa virzītāja uzskats, ka izmeklēšanas tiesnesim kompetence šajā jautājumā nav paredzēta</w:t>
      </w:r>
      <w:r>
        <w:rPr>
          <w:sz w:val="28"/>
          <w:szCs w:val="28"/>
        </w:rPr>
        <w:t>. K</w:t>
      </w:r>
      <w:r w:rsidRPr="00700D4C">
        <w:rPr>
          <w:sz w:val="28"/>
          <w:szCs w:val="28"/>
        </w:rPr>
        <w:t>onvencija ik vienam garantē tiesības uz lietas izskatīšanu neatkarīgā tiesā un nosaka, lai tiesas būtu ‘’neatkarīga’’, tai jābūt neatkarīgai no valdības, no likumdevēju varas un no lietā iesaistītajām pusēm, jānodrošina pusēm vienlīdzīgas iespējas.’’</w:t>
      </w:r>
    </w:p>
    <w:p w:rsidR="007A0BB2" w:rsidRPr="001B2197" w:rsidRDefault="007A0BB2" w:rsidP="007A0BB2">
      <w:pPr>
        <w:pStyle w:val="naisf"/>
        <w:spacing w:before="0" w:beforeAutospacing="0" w:after="0" w:afterAutospacing="0"/>
        <w:ind w:firstLine="720"/>
        <w:jc w:val="both"/>
        <w:rPr>
          <w:sz w:val="28"/>
          <w:szCs w:val="28"/>
          <w:lang w:val="lv-LV"/>
        </w:rPr>
      </w:pPr>
      <w:r w:rsidRPr="001B2197">
        <w:rPr>
          <w:sz w:val="28"/>
          <w:szCs w:val="28"/>
          <w:lang w:val="lv-LV"/>
        </w:rPr>
        <w:t>Analizējot  šo lēmumu, jāsecina, ka tiesa ir nokonstatējusi, ka p</w:t>
      </w:r>
      <w:r>
        <w:rPr>
          <w:sz w:val="28"/>
          <w:szCs w:val="28"/>
          <w:lang w:val="lv-LV"/>
        </w:rPr>
        <w:t>rocesa virzītājs ir pārkāpis Konvencijas 5.panta 4.daļu</w:t>
      </w:r>
      <w:r w:rsidRPr="001B2197">
        <w:rPr>
          <w:sz w:val="28"/>
          <w:szCs w:val="28"/>
          <w:lang w:val="lv-LV"/>
        </w:rPr>
        <w:t>, neļaujot apsūdzētajam ilgstoši iepazīties ar procesuālajiem dokumentiem, kas ir bijuši par pamatu apcietinājuma piemērošanai.</w:t>
      </w:r>
    </w:p>
    <w:p w:rsidR="007A0BB2" w:rsidRDefault="007A0BB2" w:rsidP="007A0BB2">
      <w:pPr>
        <w:ind w:firstLine="720"/>
        <w:jc w:val="both"/>
        <w:rPr>
          <w:i/>
          <w:sz w:val="28"/>
          <w:szCs w:val="28"/>
        </w:rPr>
      </w:pPr>
      <w:r>
        <w:rPr>
          <w:sz w:val="28"/>
          <w:szCs w:val="28"/>
        </w:rPr>
        <w:t xml:space="preserve">Salīdzināšanai, </w:t>
      </w:r>
      <w:r w:rsidRPr="00700D4C">
        <w:rPr>
          <w:sz w:val="28"/>
          <w:szCs w:val="28"/>
        </w:rPr>
        <w:t>Lietuvas KPK</w:t>
      </w:r>
      <w:r>
        <w:rPr>
          <w:bCs/>
          <w:color w:val="000000"/>
          <w:sz w:val="28"/>
          <w:szCs w:val="28"/>
        </w:rPr>
        <w:t xml:space="preserve"> 44. pantā</w:t>
      </w:r>
      <w:r w:rsidRPr="001B2197">
        <w:rPr>
          <w:bCs/>
          <w:color w:val="000000"/>
          <w:sz w:val="28"/>
          <w:szCs w:val="28"/>
        </w:rPr>
        <w:t xml:space="preserve"> </w:t>
      </w:r>
      <w:r>
        <w:rPr>
          <w:bCs/>
          <w:color w:val="000000"/>
          <w:sz w:val="28"/>
          <w:szCs w:val="28"/>
        </w:rPr>
        <w:t>‘’</w:t>
      </w:r>
      <w:r w:rsidRPr="001B2197">
        <w:rPr>
          <w:bCs/>
          <w:color w:val="000000"/>
          <w:sz w:val="28"/>
          <w:szCs w:val="28"/>
        </w:rPr>
        <w:t>Personas tiesību aizsardzība kriminālprocesa laikā</w:t>
      </w:r>
      <w:r>
        <w:rPr>
          <w:bCs/>
          <w:color w:val="000000"/>
          <w:sz w:val="28"/>
          <w:szCs w:val="28"/>
        </w:rPr>
        <w:t>’’,</w:t>
      </w:r>
      <w:r w:rsidRPr="001B2197">
        <w:rPr>
          <w:bCs/>
          <w:color w:val="000000"/>
          <w:sz w:val="28"/>
          <w:szCs w:val="28"/>
        </w:rPr>
        <w:t xml:space="preserve"> </w:t>
      </w:r>
      <w:r>
        <w:rPr>
          <w:sz w:val="28"/>
          <w:szCs w:val="28"/>
        </w:rPr>
        <w:t>7.daļā ir noteikts, ka ‘’ i</w:t>
      </w:r>
      <w:r w:rsidRPr="001B2197">
        <w:rPr>
          <w:sz w:val="28"/>
          <w:szCs w:val="28"/>
        </w:rPr>
        <w:t xml:space="preserve">kvienai par noziedzīgas darbības veikšanu aizdomās turamai vai apsūdzētai </w:t>
      </w:r>
      <w:r w:rsidRPr="00700D4C">
        <w:rPr>
          <w:sz w:val="28"/>
          <w:szCs w:val="28"/>
        </w:rPr>
        <w:t>personai ir tiesības, lai viņš viņam saprotamā valodā tiktu nekavējoties un izsmeļoši informēts par izvirzītās apsūdzības veidu un iemeslu, lai viņam būtu pietiekami daudz laika un iespēju sagatavoties aizstāvībai, pa</w:t>
      </w:r>
      <w:r w:rsidRPr="001B2197">
        <w:rPr>
          <w:sz w:val="28"/>
          <w:szCs w:val="28"/>
        </w:rPr>
        <w:t>šam izjautāt lieciniekus vai lūgt, lai liecinieki tiktu nopratināti. Viņam ir tiesības bez maksas izmantot tulka pakalpojumus, ja nesaprot vai nerunā lietuviski.’’</w:t>
      </w:r>
      <w:r w:rsidRPr="001B2197">
        <w:rPr>
          <w:i/>
          <w:sz w:val="28"/>
          <w:szCs w:val="28"/>
        </w:rPr>
        <w:t xml:space="preserve"> </w:t>
      </w:r>
    </w:p>
    <w:p w:rsidR="007A0BB2" w:rsidRPr="001B2197" w:rsidRDefault="007A0BB2" w:rsidP="007A0BB2">
      <w:pPr>
        <w:ind w:firstLine="720"/>
        <w:jc w:val="both"/>
        <w:rPr>
          <w:sz w:val="28"/>
          <w:szCs w:val="28"/>
        </w:rPr>
      </w:pPr>
      <w:r w:rsidRPr="00700D4C">
        <w:rPr>
          <w:sz w:val="28"/>
          <w:szCs w:val="28"/>
        </w:rPr>
        <w:t>Autors</w:t>
      </w:r>
      <w:r w:rsidRPr="001B2197">
        <w:rPr>
          <w:i/>
          <w:sz w:val="28"/>
          <w:szCs w:val="28"/>
        </w:rPr>
        <w:t xml:space="preserve"> </w:t>
      </w:r>
      <w:r w:rsidRPr="00700D4C">
        <w:rPr>
          <w:sz w:val="28"/>
          <w:szCs w:val="28"/>
        </w:rPr>
        <w:t>ak</w:t>
      </w:r>
      <w:r>
        <w:rPr>
          <w:sz w:val="28"/>
          <w:szCs w:val="28"/>
        </w:rPr>
        <w:t>centē</w:t>
      </w:r>
      <w:r w:rsidRPr="001B2197">
        <w:rPr>
          <w:sz w:val="28"/>
          <w:szCs w:val="28"/>
        </w:rPr>
        <w:t xml:space="preserve"> panta daļu, kurā noteikts</w:t>
      </w:r>
      <w:r w:rsidRPr="00700D4C">
        <w:rPr>
          <w:sz w:val="28"/>
          <w:szCs w:val="28"/>
        </w:rPr>
        <w:t>, ka aizdom</w:t>
      </w:r>
      <w:r>
        <w:rPr>
          <w:sz w:val="28"/>
          <w:szCs w:val="28"/>
        </w:rPr>
        <w:t>ās turētai</w:t>
      </w:r>
      <w:r w:rsidRPr="00700D4C">
        <w:rPr>
          <w:sz w:val="28"/>
          <w:szCs w:val="28"/>
        </w:rPr>
        <w:t xml:space="preserve"> vai apsūdzētai personai ir tiesības, lai viņai būtu pietiekami daudz laika un iespēju sagatavoties aizstāvībai. Pan</w:t>
      </w:r>
      <w:r w:rsidRPr="001B2197">
        <w:rPr>
          <w:sz w:val="28"/>
          <w:szCs w:val="28"/>
        </w:rPr>
        <w:t xml:space="preserve">tā ir strikti noteikts, ka </w:t>
      </w:r>
      <w:r>
        <w:rPr>
          <w:sz w:val="28"/>
          <w:szCs w:val="28"/>
        </w:rPr>
        <w:t>‘’</w:t>
      </w:r>
      <w:r w:rsidRPr="001B2197">
        <w:rPr>
          <w:sz w:val="28"/>
          <w:szCs w:val="28"/>
        </w:rPr>
        <w:t>personai jādot pietiekami daudz laika, lai tā varētu sagatavoties aizstāvībai visās kriminālprocesa stadijās.</w:t>
      </w:r>
      <w:r>
        <w:rPr>
          <w:sz w:val="28"/>
          <w:szCs w:val="28"/>
        </w:rPr>
        <w:t>’’</w:t>
      </w:r>
      <w:r w:rsidRPr="001B2197">
        <w:rPr>
          <w:sz w:val="28"/>
          <w:szCs w:val="28"/>
        </w:rPr>
        <w:t xml:space="preserve"> Tas nepārprotami attiecas</w:t>
      </w:r>
      <w:r>
        <w:rPr>
          <w:sz w:val="28"/>
          <w:szCs w:val="28"/>
        </w:rPr>
        <w:t xml:space="preserve"> arī uz pirmstiesas procesa</w:t>
      </w:r>
      <w:r w:rsidRPr="001B2197">
        <w:rPr>
          <w:sz w:val="28"/>
          <w:szCs w:val="28"/>
        </w:rPr>
        <w:t xml:space="preserve"> stadiju, kad tiek skatīts ierosinājums par apcietinājuma piemērošanu, kur tiesai būtu pienāku</w:t>
      </w:r>
      <w:r>
        <w:rPr>
          <w:sz w:val="28"/>
          <w:szCs w:val="28"/>
        </w:rPr>
        <w:t>ms nodrošināt personu iepazīstināt</w:t>
      </w:r>
      <w:r w:rsidRPr="001B2197">
        <w:rPr>
          <w:sz w:val="28"/>
          <w:szCs w:val="28"/>
        </w:rPr>
        <w:t xml:space="preserve"> ar ierosinājumu un atvēlēt tai pietiekami daudz laika, lai sagatav</w:t>
      </w:r>
      <w:r>
        <w:rPr>
          <w:sz w:val="28"/>
          <w:szCs w:val="28"/>
        </w:rPr>
        <w:t>otos aizstāvībai. Autors uzskata, ka  š</w:t>
      </w:r>
      <w:r w:rsidRPr="001B2197">
        <w:rPr>
          <w:sz w:val="28"/>
          <w:szCs w:val="28"/>
        </w:rPr>
        <w:t xml:space="preserve">āda </w:t>
      </w:r>
      <w:r>
        <w:rPr>
          <w:sz w:val="28"/>
          <w:szCs w:val="28"/>
        </w:rPr>
        <w:t xml:space="preserve">būtiska </w:t>
      </w:r>
      <w:r w:rsidRPr="001B2197">
        <w:rPr>
          <w:sz w:val="28"/>
          <w:szCs w:val="28"/>
        </w:rPr>
        <w:t>atsauce</w:t>
      </w:r>
      <w:r>
        <w:rPr>
          <w:sz w:val="28"/>
          <w:szCs w:val="28"/>
        </w:rPr>
        <w:t>, ka ‘’personai</w:t>
      </w:r>
      <w:r w:rsidRPr="0004022F">
        <w:rPr>
          <w:sz w:val="28"/>
          <w:szCs w:val="28"/>
        </w:rPr>
        <w:t xml:space="preserve"> </w:t>
      </w:r>
      <w:r w:rsidRPr="00700D4C">
        <w:rPr>
          <w:sz w:val="28"/>
          <w:szCs w:val="28"/>
        </w:rPr>
        <w:t>būtu pietiekami daudz laika un iespēju sagatavoties aizstāvībai</w:t>
      </w:r>
      <w:r>
        <w:rPr>
          <w:sz w:val="28"/>
          <w:szCs w:val="28"/>
        </w:rPr>
        <w:t>’’</w:t>
      </w:r>
      <w:r w:rsidRPr="001B2197">
        <w:rPr>
          <w:sz w:val="28"/>
          <w:szCs w:val="28"/>
        </w:rPr>
        <w:t xml:space="preserve"> būt</w:t>
      </w:r>
      <w:r>
        <w:rPr>
          <w:sz w:val="28"/>
          <w:szCs w:val="28"/>
        </w:rPr>
        <w:t>u integrējama</w:t>
      </w:r>
      <w:r w:rsidRPr="001B2197">
        <w:rPr>
          <w:sz w:val="28"/>
          <w:szCs w:val="28"/>
        </w:rPr>
        <w:t xml:space="preserve"> pie aizdomās turētās un apsūdzēta</w:t>
      </w:r>
      <w:r>
        <w:rPr>
          <w:sz w:val="28"/>
          <w:szCs w:val="28"/>
        </w:rPr>
        <w:t>s personas tiesībām arī KPL 66. un 70.pantā</w:t>
      </w:r>
      <w:r w:rsidRPr="001B2197">
        <w:rPr>
          <w:sz w:val="28"/>
          <w:szCs w:val="28"/>
        </w:rPr>
        <w:t>, kas nodrošinātu personai tiesības uz aizstāvību.</w:t>
      </w:r>
    </w:p>
    <w:p w:rsidR="007A0BB2" w:rsidRDefault="007A0BB2" w:rsidP="007A0BB2">
      <w:pPr>
        <w:ind w:firstLine="720"/>
        <w:jc w:val="both"/>
        <w:rPr>
          <w:b/>
          <w:sz w:val="28"/>
          <w:szCs w:val="28"/>
        </w:rPr>
      </w:pPr>
      <w:r>
        <w:rPr>
          <w:sz w:val="28"/>
          <w:szCs w:val="28"/>
        </w:rPr>
        <w:t xml:space="preserve">Viedokļu salīdzināšanai, par to kā būtu interpretējams un piemērojams KPL 246.pants, autors izanalizēs </w:t>
      </w:r>
      <w:r w:rsidRPr="00A47AFE">
        <w:rPr>
          <w:sz w:val="28"/>
          <w:szCs w:val="28"/>
        </w:rPr>
        <w:t>LR Tiesīb</w:t>
      </w:r>
      <w:r>
        <w:rPr>
          <w:sz w:val="28"/>
          <w:szCs w:val="28"/>
        </w:rPr>
        <w:t>sar</w:t>
      </w:r>
      <w:r w:rsidRPr="00A47AFE">
        <w:rPr>
          <w:sz w:val="28"/>
          <w:szCs w:val="28"/>
        </w:rPr>
        <w:t>ga</w:t>
      </w:r>
      <w:r w:rsidRPr="00A47AFE">
        <w:rPr>
          <w:b/>
          <w:sz w:val="28"/>
          <w:szCs w:val="28"/>
        </w:rPr>
        <w:t xml:space="preserve"> </w:t>
      </w:r>
      <w:r w:rsidRPr="00CB1151">
        <w:rPr>
          <w:sz w:val="28"/>
          <w:szCs w:val="28"/>
        </w:rPr>
        <w:t xml:space="preserve">sniegto </w:t>
      </w:r>
      <w:r>
        <w:rPr>
          <w:sz w:val="28"/>
          <w:szCs w:val="28"/>
        </w:rPr>
        <w:t>14.08.2008. viedokli šajā jautājumā</w:t>
      </w:r>
      <w:r>
        <w:rPr>
          <w:b/>
          <w:sz w:val="28"/>
          <w:szCs w:val="28"/>
        </w:rPr>
        <w:t xml:space="preserve"> </w:t>
      </w:r>
      <w:r w:rsidRPr="00CB1151">
        <w:rPr>
          <w:sz w:val="28"/>
          <w:szCs w:val="28"/>
        </w:rPr>
        <w:t>apsūdzētajam</w:t>
      </w:r>
      <w:r>
        <w:rPr>
          <w:sz w:val="28"/>
          <w:szCs w:val="28"/>
        </w:rPr>
        <w:t xml:space="preserve"> A.</w:t>
      </w:r>
    </w:p>
    <w:p w:rsidR="007A0BB2" w:rsidRPr="001B2197" w:rsidRDefault="007A0BB2" w:rsidP="007A0BB2">
      <w:pPr>
        <w:ind w:firstLine="720"/>
        <w:jc w:val="both"/>
        <w:rPr>
          <w:sz w:val="28"/>
          <w:szCs w:val="28"/>
        </w:rPr>
      </w:pPr>
      <w:r>
        <w:rPr>
          <w:sz w:val="28"/>
          <w:szCs w:val="28"/>
        </w:rPr>
        <w:t>Tiesībsargs secina, ka ‘’s</w:t>
      </w:r>
      <w:r w:rsidRPr="001B2197">
        <w:rPr>
          <w:sz w:val="28"/>
          <w:szCs w:val="28"/>
        </w:rPr>
        <w:t xml:space="preserve">askaņā ar KPL 246.p., kas paredz procesuālā piespiedu līdzekļa piemērošanas kārtību, otro daļu </w:t>
      </w:r>
      <w:r w:rsidRPr="00CB1151">
        <w:rPr>
          <w:sz w:val="28"/>
          <w:szCs w:val="28"/>
        </w:rPr>
        <w:t xml:space="preserve">‘’persona, kura īsteno tiesības uz aizstāvību, ir tiesīga iepazīties ar procesuālajiem dokumentiem, kuros fiksētās ziņas par faktiem izmantotas, lai pamatotu procesuālā piespiedu līdzekļa piemērošanu. Ja šāda iepazīstināšana apdraud pirmstiesas izmeklēšanu vai arī trešajai personai vai sabiedrībai </w:t>
      </w:r>
      <w:r w:rsidRPr="00CB1151">
        <w:rPr>
          <w:sz w:val="28"/>
          <w:szCs w:val="28"/>
        </w:rPr>
        <w:lastRenderedPageBreak/>
        <w:t xml:space="preserve">svarīgas intereses, ar procesa virzītāja lēmumu to var atlikt līdz attiecīgā apdraudējuma novēršanai.’’ </w:t>
      </w:r>
      <w:r w:rsidRPr="001B2197">
        <w:rPr>
          <w:sz w:val="28"/>
          <w:szCs w:val="28"/>
        </w:rPr>
        <w:t>Tātad no iepriekš minētā izriet, ka aizstāvja tiesības iepazīties ar procesuālajiem dokumentiem nav absolūtas, proti, šo tiesību īstenošana ir atkarīga no procesa virzītāja lēmuma. Vēršu uzmanību, ka aizstāvis ir jāiepazīstina ar procesuālajiem dokumentiem, tiklīdz ir novērsts apdraudējums.</w:t>
      </w:r>
    </w:p>
    <w:p w:rsidR="007A0BB2" w:rsidRDefault="007A0BB2" w:rsidP="007A0BB2">
      <w:pPr>
        <w:ind w:firstLine="720"/>
        <w:jc w:val="both"/>
        <w:rPr>
          <w:sz w:val="28"/>
          <w:szCs w:val="28"/>
        </w:rPr>
      </w:pPr>
      <w:r w:rsidRPr="001B2197">
        <w:rPr>
          <w:sz w:val="28"/>
          <w:szCs w:val="28"/>
        </w:rPr>
        <w:t>Tātad personai ir paredzētas tiesības iepazītie</w:t>
      </w:r>
      <w:r>
        <w:rPr>
          <w:sz w:val="28"/>
          <w:szCs w:val="28"/>
        </w:rPr>
        <w:t>s ar procesuālajiem dokumentiem</w:t>
      </w:r>
      <w:r w:rsidRPr="001B2197">
        <w:rPr>
          <w:sz w:val="28"/>
          <w:szCs w:val="28"/>
        </w:rPr>
        <w:t>, kas tiek izmantoti, lai pamatotu procesuālā piespiedu līdzekļa piemērošanu. Šāda kārtība nepieciešama, lai persona varētu efektīvi realizēt savas tiesības uz aizstāvību. Pretējā gadījumā personas tiesības paust savu nostāju un viedokli par procesuālā piespiedu līdzekļa piemērošanu kļūst deklaratīvas. Tomēr jāatzīmē, ka kriminālprocesa mērķis ir noskaidrot patiesību un atjaunot tiesisko līdzsvaru, tātad kriminālprocess darbojas sabiedrības int</w:t>
      </w:r>
      <w:r>
        <w:rPr>
          <w:sz w:val="28"/>
          <w:szCs w:val="28"/>
        </w:rPr>
        <w:t>erešu un drošības aizsardzībai.</w:t>
      </w:r>
    </w:p>
    <w:p w:rsidR="007A0BB2" w:rsidRPr="001B2197" w:rsidRDefault="007A0BB2" w:rsidP="007A0BB2">
      <w:pPr>
        <w:ind w:firstLine="720"/>
        <w:jc w:val="both"/>
        <w:rPr>
          <w:sz w:val="28"/>
          <w:szCs w:val="28"/>
        </w:rPr>
      </w:pPr>
      <w:r w:rsidRPr="001B2197">
        <w:rPr>
          <w:sz w:val="28"/>
          <w:szCs w:val="28"/>
        </w:rPr>
        <w:t>Pamatojoties uz to, tiesības iepazīties ar procesuālajiem dokumentiem var tikt ierobežotas gadījumos, ja šāda iepazīstināšana apdraud pirmstiesas izmeklēšanu vai arī trešajai personai vai sabiedrībai svarīgas intereses. Ņemot vērā to, ka ik viena iepazīstināšana varētu apdraudēt kādas intereses, KPL tiek uzsvērts, ka tās var būt tikai ‘’svarīgas’’ intereses.</w:t>
      </w:r>
    </w:p>
    <w:p w:rsidR="007A0BB2" w:rsidRPr="001B2197" w:rsidRDefault="007A0BB2" w:rsidP="007A0BB2">
      <w:pPr>
        <w:ind w:firstLine="720"/>
        <w:jc w:val="both"/>
        <w:rPr>
          <w:sz w:val="28"/>
          <w:szCs w:val="28"/>
        </w:rPr>
      </w:pPr>
      <w:r w:rsidRPr="001B2197">
        <w:rPr>
          <w:sz w:val="28"/>
          <w:szCs w:val="28"/>
        </w:rPr>
        <w:t>Turklāt, gadījumā, ja procesa virzītājs neiepazīstina ar procesuālajiem dokumentiem, kas tiek izmantoti, lai pamatotu procesuālā piespiedu līdzekļa piemērošanu, ir jāpieņem lēmums. Konkrētajā lēmumā būtu jāizvērtē samērīguma princips.</w:t>
      </w:r>
    </w:p>
    <w:p w:rsidR="007A0BB2" w:rsidRPr="001B2197" w:rsidRDefault="007A0BB2" w:rsidP="007A0BB2">
      <w:pPr>
        <w:jc w:val="both"/>
        <w:rPr>
          <w:sz w:val="28"/>
          <w:szCs w:val="28"/>
        </w:rPr>
      </w:pPr>
      <w:r w:rsidRPr="001B2197">
        <w:rPr>
          <w:sz w:val="28"/>
          <w:szCs w:val="28"/>
        </w:rPr>
        <w:tab/>
      </w:r>
      <w:r w:rsidRPr="001B2197">
        <w:rPr>
          <w:i/>
          <w:sz w:val="28"/>
          <w:szCs w:val="28"/>
        </w:rPr>
        <w:t>Samērīguma princips</w:t>
      </w:r>
      <w:r w:rsidRPr="001B2197">
        <w:rPr>
          <w:sz w:val="28"/>
          <w:szCs w:val="28"/>
        </w:rPr>
        <w:t xml:space="preserve"> noteic, ka tad, ja publiskā vara ierobežo personas tiesības un likumiskās intereses, ir jāievēro saprātīgs līdzsvars starp personas un valsts vai sabiedrības interesēm. Lai izvērtētu, vai konkrētā darbība atbilst samērīguma principam, jānoskaidro:</w:t>
      </w:r>
    </w:p>
    <w:p w:rsidR="007A0BB2" w:rsidRPr="001B2197" w:rsidRDefault="007A0BB2" w:rsidP="007A0BB2">
      <w:pPr>
        <w:pStyle w:val="ListParagraph"/>
        <w:numPr>
          <w:ilvl w:val="0"/>
          <w:numId w:val="2"/>
        </w:numPr>
        <w:jc w:val="both"/>
        <w:rPr>
          <w:sz w:val="28"/>
          <w:szCs w:val="28"/>
        </w:rPr>
      </w:pPr>
      <w:r w:rsidRPr="001B2197">
        <w:rPr>
          <w:sz w:val="28"/>
          <w:szCs w:val="28"/>
        </w:rPr>
        <w:t>vai lietotie līdzekļi ir piemēroti leģitīma mērķa sasniegšanai;</w:t>
      </w:r>
    </w:p>
    <w:p w:rsidR="007A0BB2" w:rsidRPr="001B2197" w:rsidRDefault="007A0BB2" w:rsidP="007A0BB2">
      <w:pPr>
        <w:pStyle w:val="ListParagraph"/>
        <w:numPr>
          <w:ilvl w:val="0"/>
          <w:numId w:val="2"/>
        </w:numPr>
        <w:jc w:val="both"/>
        <w:rPr>
          <w:sz w:val="28"/>
          <w:szCs w:val="28"/>
        </w:rPr>
      </w:pPr>
      <w:r w:rsidRPr="001B2197">
        <w:rPr>
          <w:sz w:val="28"/>
          <w:szCs w:val="28"/>
        </w:rPr>
        <w:t>vai šāda rīcība ir nepieciešama, t.i. vai mērķi nevar sasniegt ar citiem, indivīda tiesības un likumiskās intereses mazāk ierobežojošiem līdzekļiem;</w:t>
      </w:r>
    </w:p>
    <w:p w:rsidR="007A0BB2" w:rsidRPr="001B2197" w:rsidRDefault="007A0BB2" w:rsidP="007A0BB2">
      <w:pPr>
        <w:pStyle w:val="ListParagraph"/>
        <w:numPr>
          <w:ilvl w:val="0"/>
          <w:numId w:val="2"/>
        </w:numPr>
        <w:jc w:val="both"/>
        <w:rPr>
          <w:sz w:val="28"/>
          <w:szCs w:val="28"/>
        </w:rPr>
      </w:pPr>
      <w:r w:rsidRPr="001B2197">
        <w:rPr>
          <w:sz w:val="28"/>
          <w:szCs w:val="28"/>
        </w:rPr>
        <w:t>vai konkrētā darbība ir samērīga jeb atbilstoša, t.i., vai labums, ko iegūst sabiedrība, ir lielāks par indivīda tiesībām un likumiskajām interesēm nodarīto zaudējumu.</w:t>
      </w:r>
      <w:r w:rsidRPr="001B2197">
        <w:rPr>
          <w:rStyle w:val="FootnoteReference"/>
          <w:sz w:val="28"/>
          <w:szCs w:val="28"/>
        </w:rPr>
        <w:footnoteReference w:id="27"/>
      </w:r>
      <w:r w:rsidRPr="001B2197">
        <w:rPr>
          <w:sz w:val="28"/>
          <w:szCs w:val="28"/>
        </w:rPr>
        <w:t xml:space="preserve"> </w:t>
      </w:r>
    </w:p>
    <w:p w:rsidR="007A0BB2" w:rsidRPr="001B2197" w:rsidRDefault="007A0BB2" w:rsidP="007A0BB2">
      <w:pPr>
        <w:ind w:firstLine="360"/>
        <w:jc w:val="both"/>
        <w:rPr>
          <w:sz w:val="28"/>
          <w:szCs w:val="28"/>
        </w:rPr>
      </w:pPr>
      <w:r w:rsidRPr="001B2197">
        <w:rPr>
          <w:sz w:val="28"/>
          <w:szCs w:val="28"/>
        </w:rPr>
        <w:t>Gadījumā, ja persona nav apmierināta ar pieņemto lēmumu, tā var izmantot KPL 377.p.2.d. piešķirtās tiesības un pārsūdzēt procesa virzītāja lēmumu augstāk stāvošai amatpersonai. Tādejādi tiek nodrošināta lēmuma pārskatīšanas iespējas un, gadījumā, ja tiek konstatēts nesamērīgs tiesību ierobežojums, lēmums tiek atcelts.</w:t>
      </w:r>
    </w:p>
    <w:p w:rsidR="007A0BB2" w:rsidRPr="001B2197" w:rsidRDefault="007A0BB2" w:rsidP="007A0BB2">
      <w:pPr>
        <w:jc w:val="both"/>
        <w:rPr>
          <w:sz w:val="28"/>
          <w:szCs w:val="28"/>
        </w:rPr>
      </w:pPr>
      <w:r w:rsidRPr="001B2197">
        <w:rPr>
          <w:sz w:val="28"/>
          <w:szCs w:val="28"/>
        </w:rPr>
        <w:lastRenderedPageBreak/>
        <w:tab/>
        <w:t>Ņem</w:t>
      </w:r>
      <w:r>
        <w:rPr>
          <w:sz w:val="28"/>
          <w:szCs w:val="28"/>
        </w:rPr>
        <w:t>ot vērā iepriekš minēto, Tiesībsargs secina</w:t>
      </w:r>
      <w:r w:rsidRPr="001B2197">
        <w:rPr>
          <w:sz w:val="28"/>
          <w:szCs w:val="28"/>
        </w:rPr>
        <w:t xml:space="preserve">, ka likums skaidri nosaka gadījumus, kad tiesības var tikt ierobežotas, tiek norādīts uz leģitīmo mērķi un likumā ir paredzēta lēmuma pārskatīšanas iespēja. Pamatojoties uz to, </w:t>
      </w:r>
      <w:r>
        <w:rPr>
          <w:sz w:val="28"/>
          <w:szCs w:val="28"/>
        </w:rPr>
        <w:t>Tiesībsargs</w:t>
      </w:r>
      <w:r w:rsidRPr="001B2197">
        <w:rPr>
          <w:sz w:val="28"/>
          <w:szCs w:val="28"/>
        </w:rPr>
        <w:t xml:space="preserve"> </w:t>
      </w:r>
      <w:r>
        <w:rPr>
          <w:sz w:val="28"/>
          <w:szCs w:val="28"/>
        </w:rPr>
        <w:t>uzskata</w:t>
      </w:r>
      <w:r w:rsidRPr="001B2197">
        <w:rPr>
          <w:sz w:val="28"/>
          <w:szCs w:val="28"/>
        </w:rPr>
        <w:t xml:space="preserve">, ka šobrīd esošā kārtība, kas paredzēta KPL 246.p.2.d., pati par sevi nav pretrunā ar </w:t>
      </w:r>
      <w:r>
        <w:rPr>
          <w:sz w:val="28"/>
          <w:szCs w:val="28"/>
        </w:rPr>
        <w:t xml:space="preserve">LR </w:t>
      </w:r>
      <w:r w:rsidRPr="001B2197">
        <w:rPr>
          <w:sz w:val="28"/>
          <w:szCs w:val="28"/>
        </w:rPr>
        <w:t xml:space="preserve">Satversmi, proti, personas tiesības netiek nesamērīgi ierobežotas. </w:t>
      </w:r>
      <w:r w:rsidRPr="00E555CB">
        <w:rPr>
          <w:sz w:val="28"/>
          <w:szCs w:val="28"/>
        </w:rPr>
        <w:t>Problēmas varētu rasties normas piemērošanas praksē,</w:t>
      </w:r>
      <w:r w:rsidRPr="001B2197">
        <w:rPr>
          <w:sz w:val="28"/>
          <w:szCs w:val="28"/>
        </w:rPr>
        <w:t xml:space="preserve"> tomēr to ir iespējams vērtēt tikai kopsakarībā ar katra konkrētā kriminālprocesa materiāliem.’’</w:t>
      </w:r>
    </w:p>
    <w:p w:rsidR="007A0BB2" w:rsidRDefault="007A0BB2" w:rsidP="007A0BB2">
      <w:pPr>
        <w:ind w:firstLine="720"/>
        <w:jc w:val="both"/>
        <w:rPr>
          <w:sz w:val="28"/>
          <w:szCs w:val="28"/>
        </w:rPr>
      </w:pPr>
      <w:r>
        <w:rPr>
          <w:sz w:val="28"/>
          <w:szCs w:val="28"/>
        </w:rPr>
        <w:t>Autors uzskata, l</w:t>
      </w:r>
      <w:r w:rsidRPr="001B2197">
        <w:rPr>
          <w:sz w:val="28"/>
          <w:szCs w:val="28"/>
        </w:rPr>
        <w:t>ai izvairītos no situācijām, kad procesa virzītājs vairakkārt ilgstošā laika periodā liedz personai, kura īsteno tiesības uz aizstāvību, iepazīties ar procesuālajiem dokumentiem, minot vie</w:t>
      </w:r>
      <w:r>
        <w:rPr>
          <w:sz w:val="28"/>
          <w:szCs w:val="28"/>
        </w:rPr>
        <w:t>nus un tos pašus argumentus, kā piemēram,</w:t>
      </w:r>
      <w:r w:rsidRPr="001B2197">
        <w:rPr>
          <w:sz w:val="28"/>
          <w:szCs w:val="28"/>
        </w:rPr>
        <w:t xml:space="preserve"> apdraud pirmstiesas izmeklēšanu, trešās personas, sabiedrībai svarīgas intereses, kas pamato </w:t>
      </w:r>
      <w:r>
        <w:rPr>
          <w:sz w:val="28"/>
          <w:szCs w:val="28"/>
        </w:rPr>
        <w:t xml:space="preserve">procesuālā līdzekļa piemērošanu, ir nepieciešams radīt tiesisku mehānismu, lai </w:t>
      </w:r>
      <w:r w:rsidRPr="00CB1151">
        <w:rPr>
          <w:sz w:val="28"/>
          <w:szCs w:val="28"/>
        </w:rPr>
        <w:t xml:space="preserve"> </w:t>
      </w:r>
      <w:r>
        <w:rPr>
          <w:sz w:val="28"/>
          <w:szCs w:val="28"/>
        </w:rPr>
        <w:t>netiktu pārkāptas</w:t>
      </w:r>
      <w:r w:rsidRPr="00CB1151">
        <w:rPr>
          <w:sz w:val="28"/>
          <w:szCs w:val="28"/>
        </w:rPr>
        <w:t xml:space="preserve"> </w:t>
      </w:r>
      <w:r>
        <w:rPr>
          <w:sz w:val="28"/>
          <w:szCs w:val="28"/>
        </w:rPr>
        <w:t xml:space="preserve">personas </w:t>
      </w:r>
      <w:r w:rsidRPr="00CB1151">
        <w:rPr>
          <w:sz w:val="28"/>
          <w:szCs w:val="28"/>
        </w:rPr>
        <w:t>tiesības uz aizstāvību, sacīkstes, vien</w:t>
      </w:r>
      <w:r>
        <w:rPr>
          <w:sz w:val="28"/>
          <w:szCs w:val="28"/>
        </w:rPr>
        <w:t>līdzības un samērīguma principi</w:t>
      </w:r>
      <w:r w:rsidRPr="00CB1151">
        <w:rPr>
          <w:sz w:val="28"/>
          <w:szCs w:val="28"/>
        </w:rPr>
        <w:t>.</w:t>
      </w:r>
      <w:r w:rsidRPr="001B2197">
        <w:rPr>
          <w:sz w:val="28"/>
          <w:szCs w:val="28"/>
        </w:rPr>
        <w:t xml:space="preserve"> </w:t>
      </w:r>
      <w:r>
        <w:rPr>
          <w:sz w:val="28"/>
          <w:szCs w:val="28"/>
        </w:rPr>
        <w:t>P</w:t>
      </w:r>
      <w:r w:rsidRPr="001B2197">
        <w:rPr>
          <w:sz w:val="28"/>
          <w:szCs w:val="28"/>
        </w:rPr>
        <w:t xml:space="preserve">raksē visbiežāk tas attiecas uz </w:t>
      </w:r>
      <w:r>
        <w:rPr>
          <w:sz w:val="28"/>
          <w:szCs w:val="28"/>
        </w:rPr>
        <w:t>drošības līdzekli –apcietinājums piemērošanu.</w:t>
      </w:r>
      <w:r w:rsidRPr="001B2197">
        <w:rPr>
          <w:sz w:val="28"/>
          <w:szCs w:val="28"/>
        </w:rPr>
        <w:t xml:space="preserve"> Tādēļ, lai nodrošinātu efektīvu personas tiesību aizsardzību ir nepieciešami KPL grozījumi. </w:t>
      </w:r>
    </w:p>
    <w:p w:rsidR="007A0BB2" w:rsidRPr="001B2197" w:rsidRDefault="007A0BB2" w:rsidP="007A0BB2">
      <w:pPr>
        <w:ind w:firstLine="720"/>
        <w:jc w:val="both"/>
        <w:rPr>
          <w:sz w:val="28"/>
          <w:szCs w:val="28"/>
        </w:rPr>
      </w:pPr>
      <w:r w:rsidRPr="001B2197">
        <w:rPr>
          <w:sz w:val="28"/>
          <w:szCs w:val="28"/>
        </w:rPr>
        <w:t>Autors piedāvā papildināt  KPL 246.p. ar 3.daļu šādā redakcijā:</w:t>
      </w:r>
    </w:p>
    <w:p w:rsidR="007A0BB2" w:rsidRPr="001B2197" w:rsidRDefault="007A0BB2" w:rsidP="007A0BB2">
      <w:pPr>
        <w:jc w:val="both"/>
        <w:rPr>
          <w:i/>
          <w:sz w:val="28"/>
          <w:szCs w:val="28"/>
        </w:rPr>
      </w:pPr>
      <w:r w:rsidRPr="001B2197">
        <w:rPr>
          <w:sz w:val="28"/>
          <w:szCs w:val="28"/>
        </w:rPr>
        <w:t xml:space="preserve">(3) </w:t>
      </w:r>
      <w:r w:rsidRPr="001B2197">
        <w:rPr>
          <w:i/>
          <w:sz w:val="28"/>
          <w:szCs w:val="28"/>
        </w:rPr>
        <w:t>‘’Pieņemot lēmumu par atlikšanu iepazīties ar procesuālajiem dokumentiem, procesa virzītājam ir pienākums izvērtēt vai netiek pārkāptas aizdomās turētā vai apsūdzētā tiesības uz aizstāvību un vai tiek ievērots samērīguma princips.’’</w:t>
      </w:r>
    </w:p>
    <w:p w:rsidR="007A0BB2" w:rsidRPr="001B2197" w:rsidRDefault="007A0BB2" w:rsidP="007A0BB2">
      <w:pPr>
        <w:ind w:firstLine="720"/>
        <w:jc w:val="both"/>
        <w:rPr>
          <w:sz w:val="28"/>
          <w:szCs w:val="28"/>
        </w:rPr>
      </w:pPr>
      <w:r w:rsidRPr="001B2197">
        <w:rPr>
          <w:sz w:val="28"/>
          <w:szCs w:val="28"/>
        </w:rPr>
        <w:t>‘’E</w:t>
      </w:r>
      <w:r>
        <w:rPr>
          <w:sz w:val="28"/>
          <w:szCs w:val="28"/>
        </w:rPr>
        <w:t>CTT</w:t>
      </w:r>
      <w:r w:rsidRPr="001B2197">
        <w:rPr>
          <w:sz w:val="28"/>
          <w:szCs w:val="28"/>
        </w:rPr>
        <w:t xml:space="preserve"> vairakkārt ir uzsvērusi, ka ir jābūt nodrošinātām tiesībām, kas ir ne tikai teorētiskas vai iluzoras, bet tiesībām, kas ir praktiskas un efektīvas.’’</w:t>
      </w:r>
      <w:r w:rsidRPr="001B2197">
        <w:rPr>
          <w:rStyle w:val="FootnoteReference"/>
          <w:sz w:val="28"/>
          <w:szCs w:val="28"/>
        </w:rPr>
        <w:footnoteReference w:id="28"/>
      </w:r>
    </w:p>
    <w:p w:rsidR="007A0BB2" w:rsidRDefault="007A0BB2" w:rsidP="007A0BB2">
      <w:pPr>
        <w:ind w:firstLine="720"/>
        <w:jc w:val="both"/>
        <w:rPr>
          <w:spacing w:val="8"/>
          <w:sz w:val="28"/>
          <w:szCs w:val="28"/>
        </w:rPr>
      </w:pPr>
      <w:r w:rsidRPr="001B2197">
        <w:rPr>
          <w:sz w:val="28"/>
          <w:szCs w:val="28"/>
        </w:rPr>
        <w:t>Autors uzskata, ja personai, kur</w:t>
      </w:r>
      <w:r>
        <w:rPr>
          <w:sz w:val="28"/>
          <w:szCs w:val="28"/>
        </w:rPr>
        <w:t>ai ir tiesības uz aizstāvību pa</w:t>
      </w:r>
      <w:r w:rsidRPr="001B2197">
        <w:rPr>
          <w:sz w:val="28"/>
          <w:szCs w:val="28"/>
        </w:rPr>
        <w:t>stāvīgi tiek liegtas tiesības iepazīties ar procesuālajiem dokumentiem un izteikt savus argumentus un iebildumus, tad tiesībām uz aizstāvību ir tikai un vienīgi deklaratīvs raksturs. Šādā veidā tiek pārkāptas aizdomās turētā un apsūdzētā tiesības un intereses, kas nav pieļaujams tiesiskā valstī, kā arī netiek nodrošinātas</w:t>
      </w:r>
      <w:r w:rsidRPr="001B2197">
        <w:rPr>
          <w:spacing w:val="8"/>
          <w:sz w:val="28"/>
          <w:szCs w:val="28"/>
        </w:rPr>
        <w:t xml:space="preserve"> </w:t>
      </w:r>
      <w:r>
        <w:rPr>
          <w:spacing w:val="8"/>
          <w:sz w:val="28"/>
          <w:szCs w:val="28"/>
        </w:rPr>
        <w:t xml:space="preserve">LR </w:t>
      </w:r>
      <w:r w:rsidRPr="001B2197">
        <w:rPr>
          <w:spacing w:val="8"/>
          <w:sz w:val="28"/>
          <w:szCs w:val="28"/>
        </w:rPr>
        <w:t xml:space="preserve">Satversmes 92.pantā garantētās personas tiesības uz taisnīgu tiesu. </w:t>
      </w:r>
    </w:p>
    <w:p w:rsidR="007A0BB2" w:rsidRPr="001B2197" w:rsidRDefault="007A0BB2" w:rsidP="007A0BB2">
      <w:pPr>
        <w:ind w:firstLine="720"/>
        <w:jc w:val="both"/>
        <w:rPr>
          <w:spacing w:val="8"/>
          <w:sz w:val="28"/>
          <w:szCs w:val="28"/>
        </w:rPr>
      </w:pPr>
      <w:r w:rsidRPr="001B2197">
        <w:rPr>
          <w:spacing w:val="8"/>
          <w:sz w:val="28"/>
          <w:szCs w:val="28"/>
        </w:rPr>
        <w:t xml:space="preserve">Autors vēlas vērst uzmanību uz </w:t>
      </w:r>
      <w:r w:rsidRPr="001B2197">
        <w:rPr>
          <w:rFonts w:eastAsia="Calibri"/>
          <w:spacing w:val="8"/>
          <w:sz w:val="28"/>
          <w:szCs w:val="28"/>
        </w:rPr>
        <w:t xml:space="preserve">Satversmes tiesas spriedumu lietā Nr.2003-03-01, kurā ir paustas atziņas, kas ir saistošas kriminālprocesā iesaistītām personām: </w:t>
      </w:r>
      <w:r w:rsidRPr="006D7436">
        <w:rPr>
          <w:rFonts w:eastAsia="Calibri"/>
          <w:spacing w:val="8"/>
          <w:sz w:val="28"/>
          <w:szCs w:val="28"/>
        </w:rPr>
        <w:t>’’</w:t>
      </w:r>
      <w:r w:rsidRPr="006D7436">
        <w:rPr>
          <w:spacing w:val="8"/>
          <w:sz w:val="28"/>
          <w:szCs w:val="28"/>
        </w:rPr>
        <w:t>6. Taisnīgas</w:t>
      </w:r>
      <w:r w:rsidRPr="001B2197">
        <w:rPr>
          <w:spacing w:val="8"/>
          <w:sz w:val="28"/>
          <w:szCs w:val="28"/>
        </w:rPr>
        <w:t xml:space="preserve"> tiesas jēdziens ietver arī pušu līdzvērtīgu iespēju principu. Tas paredz, pirmkārt, visām procesā iesaistītajām pusēm iespēju izklāstīt lietas apstākļus un, otrkārt, liedz kādai no pusēm piešķirt būtiskas priekšrocības salīdzinājumā ar oponentu (sk. Law and practice of the European Convention on Human Rights and the European Social Charter, </w:t>
      </w:r>
      <w:r w:rsidRPr="001B2197">
        <w:rPr>
          <w:spacing w:val="8"/>
          <w:sz w:val="28"/>
          <w:szCs w:val="28"/>
        </w:rPr>
        <w:lastRenderedPageBreak/>
        <w:t>Council of Europe, 1996, p.172). Tā kā krimināllietā process, kas sākas no lietas ierosināšanas brīža un beidzas ar pēdējās instances tiesas sprieduma spēkā stāšanos, ir vienots, minētais princips jāievēro ikvienā krimināllietas tiesvedības stadijā, arī lemjot par apcietinājuma termiņa pagarināšanu</w:t>
      </w:r>
      <w:r w:rsidRPr="00F83438">
        <w:rPr>
          <w:spacing w:val="8"/>
          <w:sz w:val="28"/>
          <w:szCs w:val="28"/>
        </w:rPr>
        <w:t>.6.1.</w:t>
      </w:r>
      <w:r w:rsidRPr="001B2197">
        <w:rPr>
          <w:b/>
          <w:spacing w:val="8"/>
          <w:sz w:val="28"/>
          <w:szCs w:val="28"/>
        </w:rPr>
        <w:t> </w:t>
      </w:r>
      <w:r w:rsidRPr="001B2197">
        <w:rPr>
          <w:spacing w:val="8"/>
          <w:sz w:val="28"/>
          <w:szCs w:val="28"/>
        </w:rPr>
        <w:t>Tiesības tikt uzklausītam izriet no tiesiskā taisnīguma principa, kas ietver visas tiesas procesa garantijas. Proti, visiem pierādījumiem jābūt pieejamiem visiem, kas ir iesaistīti lietā; iespēja izsaukt lieciniekus un vienāda iespēja uzdot viņiem jautājumus; pienākums uzklausīt katru pusi tikai citas puses klātbūtnē; tiesības uz pārstāvību; iespēja izteikt savas domas par visiem jautājumiem, faktiem un tiesību normām.</w:t>
      </w:r>
    </w:p>
    <w:p w:rsidR="007A0BB2" w:rsidRPr="001B2197" w:rsidRDefault="007A0BB2" w:rsidP="007A0BB2">
      <w:pPr>
        <w:ind w:firstLine="720"/>
        <w:jc w:val="both"/>
        <w:rPr>
          <w:spacing w:val="8"/>
          <w:sz w:val="28"/>
          <w:szCs w:val="28"/>
        </w:rPr>
      </w:pPr>
      <w:r w:rsidRPr="001B2197">
        <w:rPr>
          <w:spacing w:val="8"/>
          <w:sz w:val="28"/>
          <w:szCs w:val="28"/>
        </w:rPr>
        <w:t>Tiesājamā tiesības tikt uzklausītam ir vienas no svarīgākajām apcietinātās personas procesuālajām garantijām, kuras ne tikai vispārīgi izriet no Konvencijas 6.panta, bet attiecībā uz drošības līdzekļa – apcietinājuma piemērošanu – tieši no Konvencijas 5.panta ceturtās daļas.</w:t>
      </w:r>
    </w:p>
    <w:p w:rsidR="007A0BB2" w:rsidRPr="001B2197" w:rsidRDefault="007A0BB2" w:rsidP="007A0BB2">
      <w:pPr>
        <w:ind w:firstLine="720"/>
        <w:jc w:val="both"/>
        <w:rPr>
          <w:spacing w:val="8"/>
          <w:sz w:val="28"/>
          <w:szCs w:val="28"/>
        </w:rPr>
      </w:pPr>
      <w:r w:rsidRPr="001B2197">
        <w:rPr>
          <w:spacing w:val="8"/>
          <w:sz w:val="28"/>
          <w:szCs w:val="28"/>
        </w:rPr>
        <w:t>Šīs tiesības tiek realizētas vairākos veidos, piemēram, kā tiesības saņemt pilnīgu informāciju par pretējās puses izteikto viedokli, savāktajiem pierādījumiem un faktiem, kā arī tiesības sagaidīt, ka tiesas nolēmums, ievērojot pušu izteikto viedokli, tiks argumentēts. Turklāt tiesības tikt uzklausītam ietver arī personas tiesības izteikties par faktiem un tiesību jautājumiem.</w:t>
      </w:r>
      <w:r w:rsidRPr="001B2197">
        <w:rPr>
          <w:rStyle w:val="FootnoteReference"/>
          <w:spacing w:val="8"/>
          <w:sz w:val="28"/>
          <w:szCs w:val="28"/>
        </w:rPr>
        <w:footnoteReference w:id="29"/>
      </w:r>
      <w:r w:rsidRPr="001B2197">
        <w:rPr>
          <w:spacing w:val="8"/>
          <w:sz w:val="28"/>
          <w:szCs w:val="28"/>
        </w:rPr>
        <w:t xml:space="preserve"> </w:t>
      </w:r>
    </w:p>
    <w:p w:rsidR="007A0BB2" w:rsidRPr="001B2197" w:rsidRDefault="007A0BB2" w:rsidP="007A0BB2">
      <w:pPr>
        <w:ind w:firstLine="720"/>
        <w:jc w:val="both"/>
        <w:rPr>
          <w:rFonts w:eastAsia="Calibri"/>
          <w:spacing w:val="8"/>
          <w:sz w:val="28"/>
          <w:szCs w:val="28"/>
        </w:rPr>
      </w:pPr>
      <w:r w:rsidRPr="001B2197">
        <w:rPr>
          <w:rFonts w:eastAsia="Calibri"/>
          <w:spacing w:val="8"/>
          <w:sz w:val="28"/>
          <w:szCs w:val="28"/>
        </w:rPr>
        <w:t xml:space="preserve">Bez tam, </w:t>
      </w:r>
      <w:r>
        <w:rPr>
          <w:rFonts w:eastAsia="Calibri"/>
          <w:spacing w:val="8"/>
          <w:sz w:val="28"/>
          <w:szCs w:val="28"/>
        </w:rPr>
        <w:t xml:space="preserve">LR </w:t>
      </w:r>
      <w:r w:rsidRPr="001B2197">
        <w:rPr>
          <w:rFonts w:eastAsia="Calibri"/>
          <w:spacing w:val="8"/>
          <w:sz w:val="28"/>
          <w:szCs w:val="28"/>
        </w:rPr>
        <w:t>Satversmes tiesa ir norādījusi, ka ‘’Līdzvērtīgu iespēju princips liedz kādai no pusēm piešķirt būtiskas priekšrocības salīdzinājumā ar oponentu. Tāpēc arī Eiropas Cilvēktiesību tiesa vairākās lietās ir vērtējusi tiesas, prokurora vai citas amatpersonas lomu tiesas procesā, lai noskaidrotu, vai kāda no šīm amatpersonām nav atzīstama par “pusi” konkrētajā lietā. Ja kāda no minētajām amatpersonām izpilda dažādas funkcijas konkrētajā krimināllietā, var tikt apšaubīta tās objektivitāte. Piemēram, lietā „</w:t>
      </w:r>
      <w:r w:rsidRPr="001B2197">
        <w:rPr>
          <w:rFonts w:eastAsia="Calibri"/>
          <w:i/>
          <w:spacing w:val="8"/>
          <w:sz w:val="28"/>
          <w:szCs w:val="28"/>
        </w:rPr>
        <w:t>Nīdbala pret Poliju”</w:t>
      </w:r>
      <w:r w:rsidRPr="001B2197">
        <w:rPr>
          <w:rFonts w:eastAsia="Calibri"/>
          <w:spacing w:val="8"/>
          <w:sz w:val="28"/>
          <w:szCs w:val="28"/>
        </w:rPr>
        <w:t xml:space="preserve"> Eiropas Cilvēktiesību tiesa atzina, ka prokurors, kurš izpilda izmeklēšanas un pēc tam apsūdzības funkcijas, ir </w:t>
      </w:r>
      <w:r>
        <w:rPr>
          <w:rFonts w:eastAsia="Calibri"/>
          <w:spacing w:val="8"/>
          <w:sz w:val="28"/>
          <w:szCs w:val="28"/>
        </w:rPr>
        <w:t xml:space="preserve">viena no pusēm kriminālprocesā. </w:t>
      </w:r>
      <w:r w:rsidRPr="001B2197">
        <w:rPr>
          <w:rFonts w:eastAsia="Calibri"/>
          <w:spacing w:val="8"/>
          <w:sz w:val="28"/>
          <w:szCs w:val="28"/>
        </w:rPr>
        <w:t>Tādējādi, izlemjot jautājumu par to, vai apcietinājuma piemērošana būs attaisnojama, pastāv šaubas par prokurora neatkarību un objektivitāti [sk. Eiropas Cilvēktiesību tiesas 2000.gada 4.jūlija spriedumu lietā „Nīdbala pret Poliju” („Niedbala v. Poland”)].</w:t>
      </w:r>
      <w:r w:rsidRPr="001B2197">
        <w:rPr>
          <w:spacing w:val="8"/>
          <w:sz w:val="28"/>
          <w:szCs w:val="28"/>
        </w:rPr>
        <w:t>’’</w:t>
      </w:r>
      <w:r w:rsidRPr="001B2197">
        <w:rPr>
          <w:rStyle w:val="FootnoteReference"/>
          <w:spacing w:val="8"/>
          <w:sz w:val="28"/>
          <w:szCs w:val="28"/>
        </w:rPr>
        <w:footnoteReference w:id="30"/>
      </w:r>
    </w:p>
    <w:p w:rsidR="007A0BB2" w:rsidRPr="001B2197" w:rsidRDefault="007A0BB2" w:rsidP="007A0BB2">
      <w:pPr>
        <w:ind w:firstLine="720"/>
        <w:jc w:val="both"/>
        <w:rPr>
          <w:sz w:val="28"/>
          <w:szCs w:val="28"/>
        </w:rPr>
      </w:pPr>
      <w:r>
        <w:rPr>
          <w:sz w:val="28"/>
          <w:szCs w:val="28"/>
        </w:rPr>
        <w:t>Pašreiz KPL nav strikti reglamentēts, vai</w:t>
      </w:r>
      <w:r w:rsidRPr="001B2197">
        <w:rPr>
          <w:sz w:val="28"/>
          <w:szCs w:val="28"/>
        </w:rPr>
        <w:t xml:space="preserve"> </w:t>
      </w:r>
      <w:r w:rsidRPr="00E555CB">
        <w:rPr>
          <w:sz w:val="28"/>
          <w:szCs w:val="28"/>
        </w:rPr>
        <w:t>izmeklēšanas tiesnesim</w:t>
      </w:r>
      <w:r w:rsidRPr="001B2197">
        <w:rPr>
          <w:sz w:val="28"/>
          <w:szCs w:val="28"/>
        </w:rPr>
        <w:t xml:space="preserve"> stadijā, kad tiek vērtēts cik pamatoti ir piemērots vai turpināts piemērot apcietinājums, ir tiesības izteikt viedokli vai sniegt savu vērtējumu par procesa virzītāja pieņemtajiem lēmumiem, kas attiecas uz </w:t>
      </w:r>
      <w:r>
        <w:rPr>
          <w:sz w:val="28"/>
          <w:szCs w:val="28"/>
        </w:rPr>
        <w:t xml:space="preserve">cilvēktiesību </w:t>
      </w:r>
      <w:r>
        <w:rPr>
          <w:sz w:val="28"/>
          <w:szCs w:val="28"/>
        </w:rPr>
        <w:lastRenderedPageBreak/>
        <w:t>ievērošanu, jo šobrīd</w:t>
      </w:r>
      <w:r w:rsidRPr="001B2197">
        <w:rPr>
          <w:sz w:val="28"/>
          <w:szCs w:val="28"/>
        </w:rPr>
        <w:t xml:space="preserve"> jautājumu par to vai atlikt vai uzrādīt procesuālo dokumentus aizdomās turētajam vai apsūdzētajam, kas ir bijuši par pamatu piemērot apcietinājumu, saskaņā ar KPL 24</w:t>
      </w:r>
      <w:r>
        <w:rPr>
          <w:sz w:val="28"/>
          <w:szCs w:val="28"/>
        </w:rPr>
        <w:t>6.p.2.d. lemj procesa virzītājs. T</w:t>
      </w:r>
      <w:r w:rsidRPr="001B2197">
        <w:rPr>
          <w:sz w:val="28"/>
          <w:szCs w:val="28"/>
        </w:rPr>
        <w:t>aču</w:t>
      </w:r>
      <w:r>
        <w:rPr>
          <w:sz w:val="28"/>
          <w:szCs w:val="28"/>
        </w:rPr>
        <w:t>,</w:t>
      </w:r>
      <w:r w:rsidRPr="001B2197">
        <w:rPr>
          <w:sz w:val="28"/>
          <w:szCs w:val="28"/>
        </w:rPr>
        <w:t xml:space="preserve"> ja persona sūdzas par to, ka tiek pārkāptas viņa cilvēktiesības, tad  loģiski, ka šādas sūdzības drīkst skatīt tikai un vienīgi izmeklēšanas tie</w:t>
      </w:r>
      <w:r>
        <w:rPr>
          <w:sz w:val="28"/>
          <w:szCs w:val="28"/>
        </w:rPr>
        <w:t xml:space="preserve">snesis, kura kompetencē ir </w:t>
      </w:r>
      <w:r w:rsidRPr="001B2197">
        <w:rPr>
          <w:sz w:val="28"/>
          <w:szCs w:val="28"/>
        </w:rPr>
        <w:t>kontrolēt cilvēktiesību ievērošanu kriminālp</w:t>
      </w:r>
      <w:r>
        <w:rPr>
          <w:sz w:val="28"/>
          <w:szCs w:val="28"/>
        </w:rPr>
        <w:t>rocesā</w:t>
      </w:r>
      <w:r w:rsidRPr="001B2197">
        <w:rPr>
          <w:sz w:val="28"/>
          <w:szCs w:val="28"/>
        </w:rPr>
        <w:t>. Tiesiskās problēmas aktualitāti past</w:t>
      </w:r>
      <w:r>
        <w:rPr>
          <w:sz w:val="28"/>
          <w:szCs w:val="28"/>
        </w:rPr>
        <w:t>iprina arī divi iepriekš apskatītie tiesu lēmumi, kuros izmeklēšanas tiesnesis</w:t>
      </w:r>
      <w:r w:rsidRPr="001B2197">
        <w:rPr>
          <w:sz w:val="28"/>
          <w:szCs w:val="28"/>
        </w:rPr>
        <w:t xml:space="preserve"> dot savu vērtējumu procesa</w:t>
      </w:r>
      <w:r>
        <w:rPr>
          <w:sz w:val="28"/>
          <w:szCs w:val="28"/>
        </w:rPr>
        <w:t xml:space="preserve"> virzītāja rīcībai</w:t>
      </w:r>
      <w:r w:rsidRPr="001B2197">
        <w:rPr>
          <w:sz w:val="28"/>
          <w:szCs w:val="28"/>
        </w:rPr>
        <w:t>, kas attiecas uz pr</w:t>
      </w:r>
      <w:r>
        <w:rPr>
          <w:sz w:val="28"/>
          <w:szCs w:val="28"/>
        </w:rPr>
        <w:t>ocesuālo dokumentu ilgstošu neuzrādīšanu personai, kurai ir tiesības uz aizstāvību.</w:t>
      </w:r>
    </w:p>
    <w:p w:rsidR="007A0BB2" w:rsidRDefault="007A0BB2" w:rsidP="007A0BB2">
      <w:pPr>
        <w:ind w:firstLine="720"/>
        <w:jc w:val="both"/>
        <w:rPr>
          <w:sz w:val="28"/>
          <w:szCs w:val="28"/>
        </w:rPr>
      </w:pPr>
      <w:r w:rsidRPr="001B2197">
        <w:rPr>
          <w:sz w:val="28"/>
          <w:szCs w:val="28"/>
        </w:rPr>
        <w:t>Uz doto brīdi veidojas tiesu prakse, ka KPL 41.p. uzskaitīti izmeklēšanas tiesneša tiesības un pienākumi, kas būtu vērtējams kā KPL 40.p. noteikto pienākumu uzskaitījums, bet citos gadījumos izmeklēšanas cilvēktiesību ievērošanas kontrole nav izmeklēšanas tiesneša kompetencē. Tādu uzskatu pauž arī procesa virzītāji, kas norāda, ka tiesai nav tiesības vērtēt cik pamatoti vai nepamatoti tiek liegts ilgstoši neuzrādīt procesuālos dokumentu</w:t>
      </w:r>
      <w:r>
        <w:rPr>
          <w:sz w:val="28"/>
          <w:szCs w:val="28"/>
        </w:rPr>
        <w:t>s</w:t>
      </w:r>
      <w:r w:rsidRPr="001B2197">
        <w:rPr>
          <w:sz w:val="28"/>
          <w:szCs w:val="28"/>
        </w:rPr>
        <w:t xml:space="preserve">, jo tas esot viņu kompetencē lemt un ne izmeklēšanas tiesneša. </w:t>
      </w:r>
    </w:p>
    <w:p w:rsidR="007A0BB2" w:rsidRPr="001B2197" w:rsidRDefault="007A0BB2" w:rsidP="007A0BB2">
      <w:pPr>
        <w:ind w:firstLine="720"/>
        <w:jc w:val="both"/>
        <w:rPr>
          <w:sz w:val="28"/>
          <w:szCs w:val="28"/>
        </w:rPr>
      </w:pPr>
      <w:r>
        <w:rPr>
          <w:sz w:val="28"/>
          <w:szCs w:val="28"/>
        </w:rPr>
        <w:t>Autors uzskata</w:t>
      </w:r>
      <w:r w:rsidRPr="001B2197">
        <w:rPr>
          <w:sz w:val="28"/>
          <w:szCs w:val="28"/>
        </w:rPr>
        <w:t>, ka problēmas rodas tādēļ, ka nav precīzi un skaidri KPL noteiktas izmeklēšanas tiesneša tiesības. Bez tam, šāda prakse ir pretrunā ar KPL 2.p.1.d., kur noteikts, ka ‘’kriminālprocesu nos</w:t>
      </w:r>
      <w:r>
        <w:rPr>
          <w:sz w:val="28"/>
          <w:szCs w:val="28"/>
        </w:rPr>
        <w:t>a</w:t>
      </w:r>
      <w:r w:rsidRPr="001B2197">
        <w:rPr>
          <w:sz w:val="28"/>
          <w:szCs w:val="28"/>
        </w:rPr>
        <w:t>ka LR Satversme, starptautiskās tiesību normas un šis likums’’ un izmeklēšanas tiesneša institūta izveidošanas mērķi</w:t>
      </w:r>
      <w:r>
        <w:rPr>
          <w:sz w:val="28"/>
          <w:szCs w:val="28"/>
        </w:rPr>
        <w:t xml:space="preserve">. Savukārt atbilstoši KPL 12.pantā </w:t>
      </w:r>
      <w:r w:rsidRPr="001B2197">
        <w:rPr>
          <w:sz w:val="28"/>
          <w:szCs w:val="28"/>
        </w:rPr>
        <w:t>nostiprinātajam cilvēktiesību garantēšanas principam ‘’kriminālprocesu veic, ievērojot starptautiski atzītās cilvēktiesības un nepieļaujot neattaisnotu kriminālprocesuālo pienākumu uzlikšanu vai nesamērīgu iejaukšanos personas dzīvē.’’</w:t>
      </w:r>
    </w:p>
    <w:p w:rsidR="007A0BB2" w:rsidRPr="001B2197" w:rsidRDefault="007A0BB2" w:rsidP="007A0BB2">
      <w:pPr>
        <w:ind w:firstLine="720"/>
        <w:jc w:val="both"/>
        <w:rPr>
          <w:sz w:val="28"/>
          <w:szCs w:val="28"/>
        </w:rPr>
      </w:pPr>
      <w:r w:rsidRPr="001B2197">
        <w:rPr>
          <w:sz w:val="28"/>
          <w:szCs w:val="28"/>
        </w:rPr>
        <w:t>Nosakot izmeklēšanas tiesneša institūta jēgu un tā kompetences robežas krimi</w:t>
      </w:r>
      <w:r>
        <w:rPr>
          <w:sz w:val="28"/>
          <w:szCs w:val="28"/>
        </w:rPr>
        <w:t>nālprocesā, jāņem vērā KPL 17.pantā</w:t>
      </w:r>
      <w:r w:rsidRPr="001B2197">
        <w:rPr>
          <w:sz w:val="28"/>
          <w:szCs w:val="28"/>
        </w:rPr>
        <w:t xml:space="preserve"> nostiprinātais procesuālo funkciju nodalīšanas princips. Saskaņā ar šo normu ‘’cilvēka tiesību ierobežojumu kontroles funkcija pirmstiesas izmeklēšanā un apsūdzības, aizstāvības un tiesas spriešanas funkcijas kriminālprocesā ir nodalītas.’’</w:t>
      </w:r>
    </w:p>
    <w:p w:rsidR="007A0BB2" w:rsidRPr="001B2197" w:rsidRDefault="007A0BB2" w:rsidP="007A0BB2">
      <w:pPr>
        <w:ind w:firstLine="720"/>
        <w:jc w:val="both"/>
        <w:rPr>
          <w:sz w:val="28"/>
          <w:szCs w:val="28"/>
        </w:rPr>
      </w:pPr>
      <w:r w:rsidRPr="001B2197">
        <w:rPr>
          <w:sz w:val="28"/>
          <w:szCs w:val="28"/>
        </w:rPr>
        <w:t>Lai pirmstiesas kriminālprocesā efektīvi tiktu garantēta un nodrošināta starptautiski atzīto cilvēktiesību ievērošana, nepieciešama izmeklēšanas tiesneša kontrole par šo cilvēktiesību ievērošanu. Minētā kontrole tiek nodro</w:t>
      </w:r>
      <w:r>
        <w:rPr>
          <w:sz w:val="28"/>
          <w:szCs w:val="28"/>
        </w:rPr>
        <w:t xml:space="preserve">šināta kriminālprocesā nodalot </w:t>
      </w:r>
      <w:r w:rsidRPr="001B2197">
        <w:rPr>
          <w:sz w:val="28"/>
          <w:szCs w:val="28"/>
        </w:rPr>
        <w:t>pirmstiesas izmeklēšanas un k</w:t>
      </w:r>
      <w:r>
        <w:rPr>
          <w:sz w:val="28"/>
          <w:szCs w:val="28"/>
        </w:rPr>
        <w:t>riminālvajāšanas funkcijas no</w:t>
      </w:r>
      <w:r w:rsidRPr="001B2197">
        <w:rPr>
          <w:sz w:val="28"/>
          <w:szCs w:val="28"/>
        </w:rPr>
        <w:t xml:space="preserve"> cilvēktiesību ievērošanas kontroles funkcijas. Minētās funkci</w:t>
      </w:r>
      <w:r>
        <w:rPr>
          <w:sz w:val="28"/>
          <w:szCs w:val="28"/>
        </w:rPr>
        <w:t>jas ir nodalītas tādejādi, ka</w:t>
      </w:r>
      <w:r w:rsidRPr="001B2197">
        <w:rPr>
          <w:sz w:val="28"/>
          <w:szCs w:val="28"/>
        </w:rPr>
        <w:t xml:space="preserve"> pirmstiesas izmeklēšanu un kriminālvajāšanu veic attiecīgi izmeklētājs un prokurors kā procesa virzītāji ( KPL 27., 28., 38.p.), kuru pilnvaru īstenošanu kontrolē amatā augstāks prokurors (45.p.1.d.)</w:t>
      </w:r>
      <w:r>
        <w:rPr>
          <w:sz w:val="28"/>
          <w:szCs w:val="28"/>
        </w:rPr>
        <w:t>, savukārt</w:t>
      </w:r>
      <w:r w:rsidRPr="001B2197">
        <w:rPr>
          <w:sz w:val="28"/>
          <w:szCs w:val="28"/>
        </w:rPr>
        <w:t xml:space="preserve"> cilvēktiesību </w:t>
      </w:r>
      <w:r w:rsidRPr="001B2197">
        <w:rPr>
          <w:sz w:val="28"/>
          <w:szCs w:val="28"/>
        </w:rPr>
        <w:lastRenderedPageBreak/>
        <w:t>kontrolēšanu funkciju veic – izmeklēšanas tiesnesis (KPL 40.p.) kā amatpersona, kurai ir pilnvaras kriminālprocesā (KPL 26.p.2.d.10.punkts)</w:t>
      </w:r>
    </w:p>
    <w:p w:rsidR="007A0BB2" w:rsidRDefault="007A0BB2" w:rsidP="007A0BB2">
      <w:pPr>
        <w:jc w:val="both"/>
        <w:rPr>
          <w:sz w:val="28"/>
          <w:szCs w:val="28"/>
        </w:rPr>
      </w:pPr>
      <w:r>
        <w:rPr>
          <w:sz w:val="28"/>
          <w:szCs w:val="28"/>
        </w:rPr>
        <w:tab/>
        <w:t>Pamatojoties uz KPL 17.pantā</w:t>
      </w:r>
      <w:r w:rsidRPr="001B2197">
        <w:rPr>
          <w:sz w:val="28"/>
          <w:szCs w:val="28"/>
        </w:rPr>
        <w:t xml:space="preserve"> nostiprināto procesuālo funkciju nodalīšanas principu, izmeklēšanas tiesnesis pirmstiesas kriminālprocesā veic nevis pirmstiesas izmeklēšanu un kriminālvajāšanu, bet gan kontrolē cilvēktiesību ievērošanu. Tāpēc loģiski, ka izmeklēšanas tiesnesis</w:t>
      </w:r>
      <w:r>
        <w:rPr>
          <w:sz w:val="28"/>
          <w:szCs w:val="28"/>
        </w:rPr>
        <w:t>,</w:t>
      </w:r>
      <w:r w:rsidRPr="001B2197">
        <w:rPr>
          <w:sz w:val="28"/>
          <w:szCs w:val="28"/>
        </w:rPr>
        <w:t xml:space="preserve"> saskaņā ar KPL 27</w:t>
      </w:r>
      <w:r>
        <w:rPr>
          <w:sz w:val="28"/>
          <w:szCs w:val="28"/>
        </w:rPr>
        <w:t>.</w:t>
      </w:r>
      <w:r w:rsidRPr="001B2197">
        <w:rPr>
          <w:sz w:val="28"/>
          <w:szCs w:val="28"/>
        </w:rPr>
        <w:t>p.2.d. nav procesa virzītājs. Taču tajā pat laikā atbilstoši KPL 26.p.2.d.10.punktam izmeklēšanas tiesnesis ir amatpersona, kurai ir pilnvaras kriminālprocesā, t.i. pienākums kontrolēt cilvēktiesību ievērošanu pirmstiesas izmeklēš</w:t>
      </w:r>
      <w:r>
        <w:rPr>
          <w:sz w:val="28"/>
          <w:szCs w:val="28"/>
        </w:rPr>
        <w:t>anas procesā.(KPL 40.p.)</w:t>
      </w:r>
    </w:p>
    <w:p w:rsidR="007A0BB2" w:rsidRPr="001B2197" w:rsidRDefault="007A0BB2" w:rsidP="007A0BB2">
      <w:pPr>
        <w:ind w:firstLine="720"/>
        <w:jc w:val="both"/>
        <w:rPr>
          <w:sz w:val="28"/>
          <w:szCs w:val="28"/>
        </w:rPr>
      </w:pPr>
      <w:r w:rsidRPr="001B2197">
        <w:rPr>
          <w:sz w:val="28"/>
          <w:szCs w:val="28"/>
        </w:rPr>
        <w:t>Secināju</w:t>
      </w:r>
      <w:r>
        <w:rPr>
          <w:sz w:val="28"/>
          <w:szCs w:val="28"/>
        </w:rPr>
        <w:t>ms, lai efektīvi īstenotu</w:t>
      </w:r>
      <w:r w:rsidRPr="001B2197">
        <w:rPr>
          <w:sz w:val="28"/>
          <w:szCs w:val="28"/>
        </w:rPr>
        <w:t xml:space="preserve"> kontroli pār cilvēktiesību ievērošanu pirmstiesas izmeklēšanas procesā, izmeklēšanas tiesnesis ir tiesīgs pārbaudīt pārsūdzētā lēmuma vai rīcības atbilstību starptautiski atzītām cilvēktiesībām.</w:t>
      </w:r>
    </w:p>
    <w:p w:rsidR="007A0BB2" w:rsidRPr="001B2197" w:rsidRDefault="007A0BB2" w:rsidP="007A0BB2">
      <w:pPr>
        <w:ind w:firstLine="720"/>
        <w:jc w:val="both"/>
        <w:rPr>
          <w:sz w:val="28"/>
          <w:szCs w:val="28"/>
        </w:rPr>
      </w:pPr>
      <w:r w:rsidRPr="001B2197">
        <w:rPr>
          <w:sz w:val="28"/>
          <w:szCs w:val="28"/>
        </w:rPr>
        <w:t>Svarīga norāde, uz to, ka izmeklēšanas tiesnesis ir kompetents izskatīt šādas sūdzības, ir ietverts, KPL 41.p.4.d.1.punktā ( ‘’... izmeklēšanas tiesnesim ir tiesības iepazīties ar visiem materiāliem kriminālprocesā, kurā iesniegta .... personas sūdzība’’) un KPL 344.p.3.d. (‘’izmeklēšanas tiesnesis apmierinot sū</w:t>
      </w:r>
      <w:r>
        <w:rPr>
          <w:sz w:val="28"/>
          <w:szCs w:val="28"/>
        </w:rPr>
        <w:t>dzību, pieņem šā panta 2.d. 1. u</w:t>
      </w:r>
      <w:r w:rsidRPr="001B2197">
        <w:rPr>
          <w:sz w:val="28"/>
          <w:szCs w:val="28"/>
        </w:rPr>
        <w:t>n 4.p</w:t>
      </w:r>
      <w:r>
        <w:rPr>
          <w:sz w:val="28"/>
          <w:szCs w:val="28"/>
        </w:rPr>
        <w:t>u</w:t>
      </w:r>
      <w:r w:rsidRPr="001B2197">
        <w:rPr>
          <w:sz w:val="28"/>
          <w:szCs w:val="28"/>
        </w:rPr>
        <w:t>nktā paredzēto lēmumu.’’</w:t>
      </w:r>
    </w:p>
    <w:p w:rsidR="007A0BB2" w:rsidRDefault="007A0BB2" w:rsidP="007A0BB2">
      <w:pPr>
        <w:ind w:firstLine="720"/>
        <w:jc w:val="both"/>
        <w:rPr>
          <w:sz w:val="28"/>
          <w:szCs w:val="28"/>
        </w:rPr>
      </w:pPr>
      <w:r w:rsidRPr="001B2197">
        <w:rPr>
          <w:sz w:val="28"/>
          <w:szCs w:val="28"/>
        </w:rPr>
        <w:t>Autors uzskata, lai panāktu efektīvu izmeklēšanas tiesneša kontroli pār LR Satversmē noteikto un starptautiski atzīto cilvēktiesību iev</w:t>
      </w:r>
      <w:r>
        <w:rPr>
          <w:sz w:val="28"/>
          <w:szCs w:val="28"/>
        </w:rPr>
        <w:t xml:space="preserve">ērošanu pirmstiesas </w:t>
      </w:r>
      <w:r w:rsidRPr="001B2197">
        <w:rPr>
          <w:sz w:val="28"/>
          <w:szCs w:val="28"/>
        </w:rPr>
        <w:t xml:space="preserve"> procesā ir nepieciešams </w:t>
      </w:r>
      <w:r>
        <w:rPr>
          <w:sz w:val="28"/>
          <w:szCs w:val="28"/>
        </w:rPr>
        <w:t>paplašināt izmeklēšanas  tiesneša pilnvaras.</w:t>
      </w:r>
    </w:p>
    <w:p w:rsidR="007A0BB2" w:rsidRPr="001B2197" w:rsidRDefault="007A0BB2" w:rsidP="007A0BB2">
      <w:pPr>
        <w:ind w:firstLine="720"/>
        <w:jc w:val="both"/>
        <w:rPr>
          <w:sz w:val="28"/>
          <w:szCs w:val="28"/>
        </w:rPr>
      </w:pPr>
      <w:r>
        <w:rPr>
          <w:sz w:val="28"/>
          <w:szCs w:val="28"/>
        </w:rPr>
        <w:t xml:space="preserve">Tādēļ būtu veicami šādi grozījumi: izteikt </w:t>
      </w:r>
      <w:r w:rsidRPr="001B2197">
        <w:rPr>
          <w:sz w:val="28"/>
          <w:szCs w:val="28"/>
        </w:rPr>
        <w:t>KPL 41.p.1.d.5.punktu šādā redakcijā:</w:t>
      </w:r>
    </w:p>
    <w:p w:rsidR="007A0BB2" w:rsidRPr="001B2197" w:rsidRDefault="007A0BB2" w:rsidP="007A0BB2">
      <w:pPr>
        <w:jc w:val="both"/>
        <w:rPr>
          <w:sz w:val="28"/>
          <w:szCs w:val="28"/>
        </w:rPr>
      </w:pPr>
      <w:r w:rsidRPr="001B2197">
        <w:rPr>
          <w:sz w:val="28"/>
          <w:szCs w:val="28"/>
        </w:rPr>
        <w:t xml:space="preserve">‘’(5) lemt par sūdzībām attiecībā uz pieļautajiem </w:t>
      </w:r>
      <w:r w:rsidRPr="001B2197">
        <w:rPr>
          <w:i/>
          <w:sz w:val="28"/>
          <w:szCs w:val="28"/>
        </w:rPr>
        <w:t>cilvēktiesību pārkāpumiem pirmstiesas kriminālprocesā</w:t>
      </w:r>
      <w:r w:rsidRPr="001B2197">
        <w:rPr>
          <w:sz w:val="28"/>
          <w:szCs w:val="28"/>
        </w:rPr>
        <w:t xml:space="preserve"> un privātās dzīves noslēpumu neattaisnotu pārkāpšanu </w:t>
      </w:r>
      <w:r w:rsidRPr="001B2197">
        <w:rPr>
          <w:i/>
          <w:sz w:val="28"/>
          <w:szCs w:val="28"/>
        </w:rPr>
        <w:t>veicot procesuālās izmeklēšanas darbības</w:t>
      </w:r>
      <w:r w:rsidRPr="001B2197">
        <w:rPr>
          <w:sz w:val="28"/>
          <w:szCs w:val="28"/>
        </w:rPr>
        <w:t>.’’</w:t>
      </w:r>
    </w:p>
    <w:p w:rsidR="007A0BB2" w:rsidRPr="001B2197" w:rsidRDefault="007A0BB2" w:rsidP="007A0BB2">
      <w:pPr>
        <w:jc w:val="both"/>
        <w:rPr>
          <w:sz w:val="28"/>
          <w:szCs w:val="28"/>
        </w:rPr>
      </w:pPr>
      <w:r w:rsidRPr="001B2197">
        <w:rPr>
          <w:sz w:val="28"/>
          <w:szCs w:val="28"/>
        </w:rPr>
        <w:t>Papildināt KPL 337.p.2.d. ar jaunu 4.punktu šādā redakcijā:</w:t>
      </w:r>
    </w:p>
    <w:p w:rsidR="007A0BB2" w:rsidRPr="001B2197" w:rsidRDefault="007A0BB2" w:rsidP="007A0BB2">
      <w:pPr>
        <w:jc w:val="both"/>
        <w:rPr>
          <w:sz w:val="28"/>
          <w:szCs w:val="28"/>
        </w:rPr>
      </w:pPr>
      <w:r>
        <w:rPr>
          <w:sz w:val="28"/>
          <w:szCs w:val="28"/>
        </w:rPr>
        <w:t xml:space="preserve">‘’4) </w:t>
      </w:r>
      <w:r w:rsidRPr="001B2197">
        <w:rPr>
          <w:sz w:val="28"/>
          <w:szCs w:val="28"/>
        </w:rPr>
        <w:t>par pieļautajiem cilvēktiesību pārkāpumiem pirmstiesas kriminālprocesā – izmeklēšanas tiesnesim.’’</w:t>
      </w:r>
    </w:p>
    <w:p w:rsidR="007A0BB2" w:rsidRPr="001B2197" w:rsidRDefault="007A0BB2" w:rsidP="007A0BB2">
      <w:pPr>
        <w:jc w:val="both"/>
        <w:rPr>
          <w:sz w:val="28"/>
          <w:szCs w:val="28"/>
        </w:rPr>
      </w:pPr>
      <w:r w:rsidRPr="001B2197">
        <w:rPr>
          <w:sz w:val="28"/>
          <w:szCs w:val="28"/>
        </w:rPr>
        <w:t>Izteikt panta 4.daļu šādā redakcijā:</w:t>
      </w:r>
    </w:p>
    <w:p w:rsidR="007A0BB2" w:rsidRPr="001B2197" w:rsidRDefault="007A0BB2" w:rsidP="007A0BB2">
      <w:pPr>
        <w:jc w:val="both"/>
        <w:rPr>
          <w:sz w:val="28"/>
          <w:szCs w:val="28"/>
        </w:rPr>
      </w:pPr>
      <w:r w:rsidRPr="001B2197">
        <w:rPr>
          <w:sz w:val="28"/>
          <w:szCs w:val="28"/>
        </w:rPr>
        <w:t>‘’(4) Tiesas priekšsēdētāja pieņemtais lēmums šā panta 2.d.4., 5., un 6.punktā minētajos gadījumos ir galīgs.’’</w:t>
      </w:r>
    </w:p>
    <w:p w:rsidR="007A0BB2" w:rsidRPr="001B2197" w:rsidRDefault="007A0BB2" w:rsidP="007A0BB2">
      <w:pPr>
        <w:jc w:val="both"/>
        <w:rPr>
          <w:sz w:val="28"/>
          <w:szCs w:val="28"/>
        </w:rPr>
      </w:pPr>
    </w:p>
    <w:p w:rsidR="007A0BB2" w:rsidRPr="001B2197" w:rsidRDefault="007A0BB2" w:rsidP="007A0BB2">
      <w:pPr>
        <w:jc w:val="both"/>
        <w:rPr>
          <w:sz w:val="28"/>
          <w:szCs w:val="28"/>
        </w:rPr>
      </w:pPr>
    </w:p>
    <w:p w:rsidR="007A0BB2" w:rsidRPr="00E858F8"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Pr="00290DD3" w:rsidRDefault="007A0BB2" w:rsidP="007A0BB2">
      <w:pPr>
        <w:jc w:val="both"/>
        <w:rPr>
          <w:b/>
          <w:sz w:val="28"/>
          <w:szCs w:val="28"/>
        </w:rPr>
      </w:pPr>
      <w:r>
        <w:rPr>
          <w:b/>
          <w:sz w:val="28"/>
          <w:szCs w:val="28"/>
        </w:rPr>
        <w:lastRenderedPageBreak/>
        <w:t xml:space="preserve">3. Drošības līdzekļu - </w:t>
      </w:r>
      <w:r w:rsidRPr="00290DD3">
        <w:rPr>
          <w:b/>
          <w:sz w:val="28"/>
          <w:szCs w:val="28"/>
        </w:rPr>
        <w:t xml:space="preserve">apcietinājums, mājas arests, drošības nauda </w:t>
      </w:r>
      <w:r>
        <w:rPr>
          <w:b/>
          <w:sz w:val="28"/>
          <w:szCs w:val="28"/>
        </w:rPr>
        <w:t>-</w:t>
      </w:r>
      <w:r w:rsidRPr="00290DD3">
        <w:rPr>
          <w:b/>
          <w:sz w:val="28"/>
          <w:szCs w:val="28"/>
        </w:rPr>
        <w:t xml:space="preserve">piemērošanas </w:t>
      </w:r>
      <w:r>
        <w:rPr>
          <w:b/>
          <w:sz w:val="28"/>
          <w:szCs w:val="28"/>
        </w:rPr>
        <w:t>kārtība</w:t>
      </w:r>
    </w:p>
    <w:p w:rsidR="007A0BB2" w:rsidRDefault="007A0BB2" w:rsidP="007A0BB2">
      <w:pPr>
        <w:jc w:val="both"/>
        <w:rPr>
          <w:sz w:val="28"/>
          <w:szCs w:val="28"/>
        </w:rPr>
      </w:pPr>
    </w:p>
    <w:p w:rsidR="007A0BB2" w:rsidRPr="00290DD3" w:rsidRDefault="007A0BB2" w:rsidP="007A0BB2">
      <w:pPr>
        <w:jc w:val="both"/>
        <w:rPr>
          <w:b/>
          <w:sz w:val="28"/>
          <w:szCs w:val="28"/>
        </w:rPr>
      </w:pPr>
      <w:r w:rsidRPr="00290DD3">
        <w:rPr>
          <w:b/>
          <w:sz w:val="28"/>
          <w:szCs w:val="28"/>
        </w:rPr>
        <w:t>3.1. Apcietinājums</w:t>
      </w:r>
    </w:p>
    <w:p w:rsidR="007A0BB2" w:rsidRDefault="007A0BB2" w:rsidP="007A0BB2">
      <w:pPr>
        <w:jc w:val="both"/>
        <w:rPr>
          <w:sz w:val="28"/>
          <w:szCs w:val="28"/>
        </w:rPr>
      </w:pPr>
    </w:p>
    <w:p w:rsidR="007A0BB2" w:rsidRDefault="007A0BB2" w:rsidP="007A0BB2">
      <w:pPr>
        <w:jc w:val="both"/>
        <w:rPr>
          <w:sz w:val="28"/>
          <w:szCs w:val="28"/>
        </w:rPr>
      </w:pPr>
      <w:r>
        <w:rPr>
          <w:sz w:val="28"/>
          <w:szCs w:val="28"/>
        </w:rPr>
        <w:t>Drošības līdzekļa - apcietinājums piemērošanas pamats ir noteikts KPL 272.pantā. Secināms, ka šajā pantā ir minēti divi iemesli, kuriem pastāvot procesa virzītājam ir tiesības un nevis pienākums ierosināt izmeklēšanas tiesnesim piemērot apcietinājumu un , proti, tie ir sekojoši:</w:t>
      </w:r>
    </w:p>
    <w:p w:rsidR="007A0BB2" w:rsidRDefault="007A0BB2" w:rsidP="007A0BB2">
      <w:pPr>
        <w:jc w:val="both"/>
        <w:rPr>
          <w:sz w:val="28"/>
          <w:szCs w:val="28"/>
        </w:rPr>
      </w:pPr>
      <w:r>
        <w:rPr>
          <w:sz w:val="28"/>
          <w:szCs w:val="28"/>
        </w:rPr>
        <w:t xml:space="preserve">- ja </w:t>
      </w:r>
      <w:r w:rsidRPr="00376FF5">
        <w:rPr>
          <w:sz w:val="28"/>
          <w:szCs w:val="28"/>
        </w:rPr>
        <w:t xml:space="preserve">kriminālprocesā iegūtās konkrētās ziņas par faktiem </w:t>
      </w:r>
      <w:bookmarkStart w:id="2" w:name="OLE_LINK3"/>
      <w:bookmarkStart w:id="3" w:name="OLE_LINK4"/>
      <w:r w:rsidRPr="00376FF5">
        <w:rPr>
          <w:sz w:val="28"/>
          <w:szCs w:val="28"/>
        </w:rPr>
        <w:t>rada pamatotas aizdomas</w:t>
      </w:r>
      <w:bookmarkEnd w:id="2"/>
      <w:bookmarkEnd w:id="3"/>
      <w:r w:rsidRPr="00376FF5">
        <w:rPr>
          <w:sz w:val="28"/>
          <w:szCs w:val="28"/>
        </w:rPr>
        <w:t xml:space="preserve">, ka persona ir izdarījusi noziedzīgu nodarījumu, par kuru likums </w:t>
      </w:r>
      <w:r>
        <w:rPr>
          <w:sz w:val="28"/>
          <w:szCs w:val="28"/>
        </w:rPr>
        <w:t>paredz brīvības atņemšanas sodu;</w:t>
      </w:r>
    </w:p>
    <w:p w:rsidR="007A0BB2" w:rsidRPr="00376FF5" w:rsidRDefault="007A0BB2" w:rsidP="007A0BB2">
      <w:pPr>
        <w:jc w:val="both"/>
        <w:rPr>
          <w:sz w:val="28"/>
          <w:szCs w:val="28"/>
        </w:rPr>
      </w:pPr>
      <w:r>
        <w:rPr>
          <w:sz w:val="28"/>
          <w:szCs w:val="28"/>
        </w:rPr>
        <w:t xml:space="preserve">- </w:t>
      </w:r>
      <w:r w:rsidRPr="00376FF5">
        <w:rPr>
          <w:sz w:val="28"/>
          <w:szCs w:val="28"/>
        </w:rPr>
        <w:t xml:space="preserve">cita drošības līdzekļa piemērošana nevar nodrošināt, ka persona neizdarīs jaunu noziedzīgu nodarījumu, netraucēs </w:t>
      </w:r>
      <w:r w:rsidRPr="0084660A">
        <w:rPr>
          <w:sz w:val="28"/>
          <w:szCs w:val="28"/>
        </w:rPr>
        <w:t xml:space="preserve">izmeklēšanai vai neizvairīsies no izmeklēšanas, </w:t>
      </w:r>
      <w:r w:rsidRPr="00376FF5">
        <w:rPr>
          <w:sz w:val="28"/>
          <w:szCs w:val="28"/>
        </w:rPr>
        <w:t>tiesas vai sprieduma izpildīšanas.</w:t>
      </w:r>
    </w:p>
    <w:p w:rsidR="007A0BB2" w:rsidRPr="00376FF5" w:rsidRDefault="007A0BB2" w:rsidP="007A0BB2">
      <w:pPr>
        <w:pStyle w:val="naisf"/>
        <w:spacing w:before="0" w:beforeAutospacing="0" w:after="0" w:afterAutospacing="0"/>
        <w:ind w:firstLine="720"/>
        <w:jc w:val="both"/>
        <w:rPr>
          <w:sz w:val="28"/>
          <w:szCs w:val="28"/>
          <w:lang w:val="lv-LV"/>
        </w:rPr>
      </w:pPr>
      <w:r>
        <w:rPr>
          <w:sz w:val="28"/>
          <w:szCs w:val="28"/>
          <w:lang w:val="lv-LV"/>
        </w:rPr>
        <w:t>Savukārt šī panta otrajā daļā ir minēti papildus nosacījumi, kuriem pastāvot, p</w:t>
      </w:r>
      <w:r w:rsidRPr="00376FF5">
        <w:rPr>
          <w:sz w:val="28"/>
          <w:szCs w:val="28"/>
          <w:lang w:val="lv-LV"/>
        </w:rPr>
        <w:t>ersonai, kura tiek turēta aizdomās vai apsūdzēta sevišķi smaga nozieguma izdarīšanā, apcietinājumu var piemērot arī tad, ja:</w:t>
      </w:r>
    </w:p>
    <w:p w:rsidR="007A0BB2" w:rsidRPr="00376FF5" w:rsidRDefault="007A0BB2" w:rsidP="007A0BB2">
      <w:pPr>
        <w:pStyle w:val="naisf"/>
        <w:spacing w:before="0" w:beforeAutospacing="0" w:after="0" w:afterAutospacing="0"/>
        <w:jc w:val="both"/>
        <w:rPr>
          <w:sz w:val="28"/>
          <w:szCs w:val="28"/>
          <w:lang w:val="lv-LV"/>
        </w:rPr>
      </w:pPr>
      <w:r>
        <w:rPr>
          <w:sz w:val="28"/>
          <w:szCs w:val="28"/>
          <w:lang w:val="lv-LV"/>
        </w:rPr>
        <w:t xml:space="preserve">- </w:t>
      </w:r>
      <w:r w:rsidRPr="00376FF5">
        <w:rPr>
          <w:sz w:val="28"/>
          <w:szCs w:val="28"/>
          <w:lang w:val="lv-LV"/>
        </w:rPr>
        <w:t>noziegums bijis vērsts pret nepilngadīgo vai personu, kura bija vai ir materiālā vai citādā atkarībā no aizdomās turētā vai apsūdzētā, vai personu, kura vecuma, slimības vai citu iemeslu dēļ nav varējusi savas intereses aizsargāt;</w:t>
      </w:r>
    </w:p>
    <w:p w:rsidR="007A0BB2" w:rsidRPr="00376FF5" w:rsidRDefault="007A0BB2" w:rsidP="007A0BB2">
      <w:pPr>
        <w:pStyle w:val="naisf"/>
        <w:spacing w:before="0" w:beforeAutospacing="0" w:after="0" w:afterAutospacing="0"/>
        <w:jc w:val="both"/>
        <w:rPr>
          <w:sz w:val="28"/>
          <w:szCs w:val="28"/>
          <w:lang w:val="lv-LV"/>
        </w:rPr>
      </w:pPr>
      <w:r>
        <w:rPr>
          <w:sz w:val="28"/>
          <w:szCs w:val="28"/>
          <w:lang w:val="lv-LV"/>
        </w:rPr>
        <w:t xml:space="preserve">- </w:t>
      </w:r>
      <w:r w:rsidRPr="00376FF5">
        <w:rPr>
          <w:sz w:val="28"/>
          <w:szCs w:val="28"/>
          <w:lang w:val="lv-LV"/>
        </w:rPr>
        <w:t>persona ir noziedzīgas organizētas grupas dalībnieks;</w:t>
      </w:r>
    </w:p>
    <w:p w:rsidR="007A0BB2" w:rsidRPr="00376FF5" w:rsidRDefault="007A0BB2" w:rsidP="007A0BB2">
      <w:pPr>
        <w:pStyle w:val="naisf"/>
        <w:spacing w:before="0" w:beforeAutospacing="0" w:after="0" w:afterAutospacing="0"/>
        <w:jc w:val="both"/>
        <w:rPr>
          <w:sz w:val="28"/>
          <w:szCs w:val="28"/>
          <w:lang w:val="lv-LV"/>
        </w:rPr>
      </w:pPr>
      <w:r>
        <w:rPr>
          <w:sz w:val="28"/>
          <w:szCs w:val="28"/>
          <w:lang w:val="lv-LV"/>
        </w:rPr>
        <w:t>- konstatēts viens no KPL</w:t>
      </w:r>
      <w:r w:rsidRPr="00376FF5">
        <w:rPr>
          <w:sz w:val="28"/>
          <w:szCs w:val="28"/>
          <w:lang w:val="lv-LV"/>
        </w:rPr>
        <w:t xml:space="preserve"> 264.panta otrās daļas 1. vai 2.punktā minētajiem nosacījumiem</w:t>
      </w:r>
      <w:r>
        <w:rPr>
          <w:sz w:val="28"/>
          <w:szCs w:val="28"/>
          <w:lang w:val="lv-LV"/>
        </w:rPr>
        <w:t xml:space="preserve"> t.i. persona pārsteigta tieši noziedzīgā nodarījuma brīdī, tūlīt pēc tam vai arī bēgot no noziedzīgā nodarījuma izdarīšanas vietas un uz personu kā noziedzīgā nodarījuma izdarītāju norāda cietušais vai cita persona, kura redzējusi notikumu vai citādā veidā tieši ieguvusi šādu informāciju</w:t>
      </w:r>
      <w:r w:rsidRPr="00376FF5">
        <w:rPr>
          <w:sz w:val="28"/>
          <w:szCs w:val="28"/>
          <w:lang w:val="lv-LV"/>
        </w:rPr>
        <w:t>;</w:t>
      </w:r>
    </w:p>
    <w:p w:rsidR="007A0BB2" w:rsidRDefault="007A0BB2" w:rsidP="007A0BB2">
      <w:pPr>
        <w:jc w:val="both"/>
        <w:rPr>
          <w:sz w:val="28"/>
          <w:szCs w:val="28"/>
        </w:rPr>
      </w:pPr>
      <w:r>
        <w:rPr>
          <w:sz w:val="28"/>
          <w:szCs w:val="28"/>
        </w:rPr>
        <w:t>-</w:t>
      </w:r>
      <w:r w:rsidRPr="00376FF5">
        <w:rPr>
          <w:sz w:val="28"/>
          <w:szCs w:val="28"/>
        </w:rPr>
        <w:t xml:space="preserve"> personai nav pastāvīgas dzīvesvietas Latvijā.</w:t>
      </w:r>
    </w:p>
    <w:p w:rsidR="007A0BB2" w:rsidRDefault="007A0BB2" w:rsidP="007A0BB2">
      <w:pPr>
        <w:ind w:firstLine="720"/>
        <w:jc w:val="both"/>
        <w:rPr>
          <w:b/>
          <w:sz w:val="28"/>
          <w:szCs w:val="28"/>
        </w:rPr>
      </w:pPr>
      <w:r>
        <w:rPr>
          <w:sz w:val="28"/>
          <w:szCs w:val="28"/>
        </w:rPr>
        <w:t>Pēc autora ieskatiem likumdevējs šī panta vārdkopā ‘’</w:t>
      </w:r>
      <w:r w:rsidRPr="00376FF5">
        <w:rPr>
          <w:sz w:val="28"/>
          <w:szCs w:val="28"/>
        </w:rPr>
        <w:t>rada pamatotas aizdomas</w:t>
      </w:r>
      <w:r>
        <w:rPr>
          <w:sz w:val="28"/>
          <w:szCs w:val="28"/>
        </w:rPr>
        <w:t>’’ no juridiskās valodas viedokļa ļoti neveiksmīgi ir izmantojis vārdu ‘’aizdomas’’, kas rada divdomīgu situāciju piemērojot šo normu praksē. Vārdnīcā vārds ‘’</w:t>
      </w:r>
      <w:r w:rsidRPr="00B568C2">
        <w:rPr>
          <w:i/>
          <w:sz w:val="28"/>
          <w:szCs w:val="28"/>
        </w:rPr>
        <w:t>aizdomas</w:t>
      </w:r>
      <w:r>
        <w:rPr>
          <w:sz w:val="28"/>
          <w:szCs w:val="28"/>
        </w:rPr>
        <w:t>’’ tiek skaidrots, kā – Nedrošs pieņēmums (par ko nosodāmu, nepatīkamu); šaubas, pārdomas (par kāda godīgumu).</w:t>
      </w:r>
      <w:r>
        <w:rPr>
          <w:rStyle w:val="FootnoteReference"/>
          <w:sz w:val="28"/>
          <w:szCs w:val="28"/>
        </w:rPr>
        <w:footnoteReference w:id="31"/>
      </w:r>
      <w:r>
        <w:rPr>
          <w:sz w:val="28"/>
          <w:szCs w:val="28"/>
        </w:rPr>
        <w:t xml:space="preserve"> Izmantojot gramatisko interpretācijas metodi, jāsecina, ka apcietinājumu var piemērot arī tad, ja ziņas par faktiem rada pamatotas šaubas vai pieņēmumu, ka persona ir izdarījusi noziedzīgo nodarījumu.</w:t>
      </w:r>
    </w:p>
    <w:p w:rsidR="007A0BB2" w:rsidRDefault="007A0BB2" w:rsidP="007A0BB2">
      <w:pPr>
        <w:ind w:firstLine="720"/>
        <w:jc w:val="both"/>
        <w:rPr>
          <w:sz w:val="28"/>
          <w:szCs w:val="28"/>
        </w:rPr>
      </w:pPr>
      <w:r>
        <w:rPr>
          <w:sz w:val="28"/>
          <w:szCs w:val="28"/>
        </w:rPr>
        <w:t xml:space="preserve">Atšķirībā no KPL 271.p.1.d., kur ir noteikts, kādām personām var piemērot apcietinājumu, ir minēta gan aizdomās turētā persona, gan </w:t>
      </w:r>
      <w:r>
        <w:rPr>
          <w:sz w:val="28"/>
          <w:szCs w:val="28"/>
        </w:rPr>
        <w:lastRenderedPageBreak/>
        <w:t>apsūdzētais. Taču KPL 272.p.1.d. šie divi procesuālie statusi nav  ietverti. tas norāda uz to, ka normas savstarpēji nav saskaņotas un tas rada pretrunas. Analizējot procesu kā vienotu sistēmu, loģiski būtu, ka viena norma papildinātu otru un tās nebūtu pretrunā viena ar otru.</w:t>
      </w:r>
    </w:p>
    <w:p w:rsidR="007A0BB2" w:rsidRDefault="007A0BB2" w:rsidP="007A0BB2">
      <w:pPr>
        <w:jc w:val="both"/>
        <w:rPr>
          <w:sz w:val="28"/>
          <w:szCs w:val="28"/>
        </w:rPr>
      </w:pPr>
      <w:r>
        <w:rPr>
          <w:sz w:val="28"/>
          <w:szCs w:val="28"/>
        </w:rPr>
        <w:t>Vācu tiesību zinātnieks Helmuts Koings ir  izšķīris vairākus kanonus, pēc kuriem jāvadās iztulkojot tiesību tekstus. Otrais kanons ir minēts kā vienotības pozīcija. Viņš  ir norādījis, ka ‘’Teksts jāuztver kā vienots veselums. Atsevišķi teikumi jāapskata kā daļa no kopsakara, un kopsakars jāizsecina no atsevišķiem teikumiem un jēdzieniem. Likumam un jebkuram juridiskam tekstam jābūt bez pretrunām, tas lietojams samērīgi un bez patvaļas.’’</w:t>
      </w:r>
      <w:r>
        <w:rPr>
          <w:rStyle w:val="FootnoteReference"/>
          <w:sz w:val="28"/>
          <w:szCs w:val="28"/>
        </w:rPr>
        <w:footnoteReference w:id="32"/>
      </w:r>
    </w:p>
    <w:p w:rsidR="007A0BB2" w:rsidRDefault="007A0BB2" w:rsidP="007A0BB2">
      <w:pPr>
        <w:ind w:firstLine="720"/>
        <w:jc w:val="both"/>
        <w:rPr>
          <w:sz w:val="28"/>
          <w:szCs w:val="28"/>
        </w:rPr>
      </w:pPr>
      <w:r>
        <w:rPr>
          <w:sz w:val="28"/>
          <w:szCs w:val="28"/>
        </w:rPr>
        <w:t>Bez tam, lai precīzi un skaidri tiktu izmantoti juridiskas dabas termini, tad būtu jānošķir termins ‘’apcietināšanas pamats’’ un ‘’apcietināšanas nosacījumi’’. Vārdnīcā vārdam ‘’</w:t>
      </w:r>
      <w:r w:rsidRPr="00B568C2">
        <w:rPr>
          <w:i/>
          <w:sz w:val="28"/>
          <w:szCs w:val="28"/>
        </w:rPr>
        <w:t>nosacījums</w:t>
      </w:r>
      <w:r>
        <w:rPr>
          <w:sz w:val="28"/>
          <w:szCs w:val="28"/>
        </w:rPr>
        <w:t>’’ ir vairākas nozīmes, tas tiek skaidrots kā 1. Apstāklis, no kura, kas ir atkarīgs. 2. Prasība, noteikums.</w:t>
      </w:r>
      <w:r>
        <w:rPr>
          <w:rStyle w:val="FootnoteReference"/>
          <w:sz w:val="28"/>
          <w:szCs w:val="28"/>
        </w:rPr>
        <w:footnoteReference w:id="33"/>
      </w:r>
    </w:p>
    <w:p w:rsidR="007A0BB2" w:rsidRPr="00E555CB" w:rsidRDefault="007A0BB2" w:rsidP="007A0BB2">
      <w:pPr>
        <w:ind w:firstLine="720"/>
        <w:jc w:val="both"/>
        <w:rPr>
          <w:b/>
          <w:sz w:val="28"/>
          <w:szCs w:val="28"/>
        </w:rPr>
      </w:pPr>
      <w:r>
        <w:rPr>
          <w:sz w:val="28"/>
          <w:szCs w:val="28"/>
        </w:rPr>
        <w:t>Veicot salīdzinošo analīzi, a</w:t>
      </w:r>
      <w:r w:rsidRPr="00E858F8">
        <w:rPr>
          <w:sz w:val="28"/>
          <w:szCs w:val="28"/>
        </w:rPr>
        <w:t>pciet</w:t>
      </w:r>
      <w:r>
        <w:rPr>
          <w:sz w:val="28"/>
          <w:szCs w:val="28"/>
        </w:rPr>
        <w:t xml:space="preserve">ināšanas pamats ir minēts arī </w:t>
      </w:r>
      <w:r w:rsidRPr="00B9604C">
        <w:rPr>
          <w:sz w:val="28"/>
          <w:szCs w:val="28"/>
        </w:rPr>
        <w:t>Vācijas Kriminālprocesa kodeks</w:t>
      </w:r>
      <w:r>
        <w:rPr>
          <w:sz w:val="28"/>
          <w:szCs w:val="28"/>
        </w:rPr>
        <w:t>ā</w:t>
      </w:r>
      <w:r w:rsidRPr="00E858F8">
        <w:rPr>
          <w:b/>
          <w:sz w:val="28"/>
          <w:szCs w:val="28"/>
        </w:rPr>
        <w:t xml:space="preserve"> </w:t>
      </w:r>
      <w:r w:rsidRPr="00E858F8">
        <w:rPr>
          <w:rStyle w:val="FootnoteReference"/>
          <w:b/>
          <w:sz w:val="28"/>
          <w:szCs w:val="28"/>
        </w:rPr>
        <w:footnoteReference w:id="34"/>
      </w:r>
      <w:r>
        <w:rPr>
          <w:b/>
          <w:sz w:val="28"/>
          <w:szCs w:val="28"/>
        </w:rPr>
        <w:t xml:space="preserve"> </w:t>
      </w:r>
      <w:r>
        <w:rPr>
          <w:sz w:val="28"/>
          <w:szCs w:val="28"/>
        </w:rPr>
        <w:t>devītajā nodaļā, 112. pantā, kur noteikts, ka ‘’</w:t>
      </w:r>
      <w:r w:rsidRPr="00E858F8">
        <w:rPr>
          <w:sz w:val="28"/>
          <w:szCs w:val="28"/>
        </w:rPr>
        <w:t>personai var piemērot apcietinājumu uz izmeklēšanas laiku, ja per</w:t>
      </w:r>
      <w:r>
        <w:rPr>
          <w:sz w:val="28"/>
          <w:szCs w:val="28"/>
        </w:rPr>
        <w:t>sona konkrētajā lietā ir aizdomās turētās</w:t>
      </w:r>
      <w:r w:rsidRPr="00E858F8">
        <w:rPr>
          <w:sz w:val="28"/>
          <w:szCs w:val="28"/>
        </w:rPr>
        <w:t xml:space="preserve"> </w:t>
      </w:r>
      <w:r>
        <w:rPr>
          <w:sz w:val="28"/>
          <w:szCs w:val="28"/>
        </w:rPr>
        <w:t>vai apsūdzētās</w:t>
      </w:r>
      <w:r w:rsidRPr="00E858F8">
        <w:rPr>
          <w:sz w:val="28"/>
          <w:szCs w:val="28"/>
        </w:rPr>
        <w:t xml:space="preserve"> personas statusā un pastāv iemesls apcietināšanai. Šāds līdzeklis nedrīkst tikt piemērots, ja tas </w:t>
      </w:r>
      <w:r>
        <w:rPr>
          <w:sz w:val="28"/>
          <w:szCs w:val="28"/>
        </w:rPr>
        <w:t>ir ne</w:t>
      </w:r>
      <w:r w:rsidRPr="00E858F8">
        <w:rPr>
          <w:sz w:val="28"/>
          <w:szCs w:val="28"/>
        </w:rPr>
        <w:t>samērīgs ar lietas nozīmīgumu un tajā potenciāli piemērojamo sodu vai labošanas un drošības līdzekļiem.</w:t>
      </w:r>
    </w:p>
    <w:p w:rsidR="007A0BB2" w:rsidRPr="00E858F8" w:rsidRDefault="007A0BB2" w:rsidP="007A0BB2">
      <w:pPr>
        <w:ind w:firstLine="720"/>
        <w:jc w:val="both"/>
        <w:rPr>
          <w:sz w:val="28"/>
          <w:szCs w:val="28"/>
        </w:rPr>
      </w:pPr>
      <w:r w:rsidRPr="00E858F8">
        <w:rPr>
          <w:sz w:val="28"/>
          <w:szCs w:val="28"/>
        </w:rPr>
        <w:t>Ie</w:t>
      </w:r>
      <w:r>
        <w:rPr>
          <w:sz w:val="28"/>
          <w:szCs w:val="28"/>
        </w:rPr>
        <w:t xml:space="preserve">mesls apcietināšanai pastāv, ja </w:t>
      </w:r>
      <w:r w:rsidRPr="00E858F8">
        <w:rPr>
          <w:sz w:val="28"/>
          <w:szCs w:val="28"/>
        </w:rPr>
        <w:t xml:space="preserve"> pamatojoties uz noteiktiem faktiem</w:t>
      </w:r>
      <w:r>
        <w:rPr>
          <w:sz w:val="28"/>
          <w:szCs w:val="28"/>
        </w:rPr>
        <w:t xml:space="preserve"> (pierādījumiem)</w:t>
      </w:r>
      <w:r w:rsidRPr="00E858F8">
        <w:rPr>
          <w:sz w:val="28"/>
          <w:szCs w:val="28"/>
        </w:rPr>
        <w:t>,</w:t>
      </w:r>
    </w:p>
    <w:p w:rsidR="007A0BB2" w:rsidRPr="00E858F8" w:rsidRDefault="007A0BB2" w:rsidP="007A0BB2">
      <w:pPr>
        <w:jc w:val="both"/>
        <w:rPr>
          <w:sz w:val="28"/>
          <w:szCs w:val="28"/>
        </w:rPr>
      </w:pPr>
      <w:r w:rsidRPr="00E858F8">
        <w:rPr>
          <w:sz w:val="28"/>
          <w:szCs w:val="28"/>
        </w:rPr>
        <w:t>1. tiek konstatēts, ka apsūdzētā persona bēguļo vai slēpjas,</w:t>
      </w:r>
    </w:p>
    <w:p w:rsidR="007A0BB2" w:rsidRPr="00E858F8" w:rsidRDefault="007A0BB2" w:rsidP="007A0BB2">
      <w:pPr>
        <w:jc w:val="both"/>
        <w:rPr>
          <w:sz w:val="28"/>
          <w:szCs w:val="28"/>
        </w:rPr>
      </w:pPr>
      <w:r w:rsidRPr="00E858F8">
        <w:rPr>
          <w:sz w:val="28"/>
          <w:szCs w:val="28"/>
        </w:rPr>
        <w:t>2. izvērtējot konkrētā gadījuma apstākļus, pastāv bīstamība, ka apsūdzētā persona varētu izvairīties no kriminālās tiesvedības (bēgšana) vai</w:t>
      </w:r>
    </w:p>
    <w:p w:rsidR="007A0BB2" w:rsidRPr="00E858F8" w:rsidRDefault="007A0BB2" w:rsidP="007A0BB2">
      <w:pPr>
        <w:jc w:val="both"/>
        <w:rPr>
          <w:sz w:val="28"/>
          <w:szCs w:val="28"/>
        </w:rPr>
      </w:pPr>
      <w:r w:rsidRPr="00E858F8">
        <w:rPr>
          <w:sz w:val="28"/>
          <w:szCs w:val="28"/>
        </w:rPr>
        <w:t>3. apsūdzētās personas rīcība rada pamatotas aizdomas par to, ka persona varētu</w:t>
      </w:r>
      <w:r>
        <w:rPr>
          <w:sz w:val="28"/>
          <w:szCs w:val="28"/>
        </w:rPr>
        <w:t xml:space="preserve"> </w:t>
      </w:r>
      <w:r w:rsidRPr="00E858F8">
        <w:rPr>
          <w:sz w:val="28"/>
          <w:szCs w:val="28"/>
        </w:rPr>
        <w:t>a) iznīcināt, izmainīt, noslēpt, nomākt vai viltot pierādījumus</w:t>
      </w:r>
      <w:r>
        <w:rPr>
          <w:sz w:val="28"/>
          <w:szCs w:val="28"/>
        </w:rPr>
        <w:t xml:space="preserve"> </w:t>
      </w:r>
      <w:r w:rsidRPr="00E858F8">
        <w:rPr>
          <w:sz w:val="28"/>
          <w:szCs w:val="28"/>
        </w:rPr>
        <w:t>vai</w:t>
      </w:r>
    </w:p>
    <w:p w:rsidR="007A0BB2" w:rsidRPr="00E858F8" w:rsidRDefault="007A0BB2" w:rsidP="007A0BB2">
      <w:pPr>
        <w:jc w:val="both"/>
        <w:rPr>
          <w:sz w:val="28"/>
          <w:szCs w:val="28"/>
        </w:rPr>
      </w:pPr>
      <w:r w:rsidRPr="00E858F8">
        <w:rPr>
          <w:sz w:val="28"/>
          <w:szCs w:val="28"/>
        </w:rPr>
        <w:t>b) negodīgā veidā ietekmēt aizdomās turamos, lieciniekus vai ekspertus</w:t>
      </w:r>
    </w:p>
    <w:p w:rsidR="007A0BB2" w:rsidRPr="00E858F8" w:rsidRDefault="007A0BB2" w:rsidP="007A0BB2">
      <w:pPr>
        <w:jc w:val="both"/>
        <w:rPr>
          <w:sz w:val="28"/>
          <w:szCs w:val="28"/>
        </w:rPr>
      </w:pPr>
      <w:r w:rsidRPr="00E858F8">
        <w:rPr>
          <w:sz w:val="28"/>
          <w:szCs w:val="28"/>
        </w:rPr>
        <w:t>vai</w:t>
      </w:r>
      <w:r>
        <w:rPr>
          <w:sz w:val="28"/>
          <w:szCs w:val="28"/>
        </w:rPr>
        <w:t xml:space="preserve"> </w:t>
      </w:r>
      <w:r w:rsidRPr="00E858F8">
        <w:rPr>
          <w:sz w:val="28"/>
          <w:szCs w:val="28"/>
        </w:rPr>
        <w:t>c) pamudinā</w:t>
      </w:r>
      <w:r>
        <w:rPr>
          <w:sz w:val="28"/>
          <w:szCs w:val="28"/>
        </w:rPr>
        <w:t xml:space="preserve">t uz šādu rīcību citas personas </w:t>
      </w:r>
      <w:r w:rsidRPr="00E858F8">
        <w:rPr>
          <w:sz w:val="28"/>
          <w:szCs w:val="28"/>
        </w:rPr>
        <w:t>un, ja tālab pastāv bīstamība, ka patiesības noskaidrošana lietā varētu tikt apgrūtināta (lietas aptumšošana).</w:t>
      </w:r>
      <w:r>
        <w:rPr>
          <w:sz w:val="28"/>
          <w:szCs w:val="28"/>
        </w:rPr>
        <w:t>’’</w:t>
      </w:r>
    </w:p>
    <w:p w:rsidR="007A0BB2" w:rsidRPr="00E858F8" w:rsidRDefault="007A0BB2" w:rsidP="007A0BB2">
      <w:pPr>
        <w:ind w:firstLine="720"/>
        <w:jc w:val="both"/>
        <w:rPr>
          <w:sz w:val="28"/>
          <w:szCs w:val="28"/>
        </w:rPr>
      </w:pPr>
      <w:r w:rsidRPr="00B9604C">
        <w:rPr>
          <w:sz w:val="28"/>
          <w:szCs w:val="28"/>
        </w:rPr>
        <w:t>Analizējot Vācijas KPK</w:t>
      </w:r>
      <w:r w:rsidRPr="00E858F8">
        <w:rPr>
          <w:sz w:val="28"/>
          <w:szCs w:val="28"/>
        </w:rPr>
        <w:t>, kas nos</w:t>
      </w:r>
      <w:r>
        <w:rPr>
          <w:sz w:val="28"/>
          <w:szCs w:val="28"/>
        </w:rPr>
        <w:t>aka apcietināšanas pamatu</w:t>
      </w:r>
      <w:r w:rsidRPr="00E858F8">
        <w:rPr>
          <w:sz w:val="28"/>
          <w:szCs w:val="28"/>
        </w:rPr>
        <w:t>, autors vēlas norādīt, lai pastāvētu</w:t>
      </w:r>
      <w:r>
        <w:rPr>
          <w:sz w:val="28"/>
          <w:szCs w:val="28"/>
        </w:rPr>
        <w:t xml:space="preserve"> apcietināšanas iemesls, jābūt </w:t>
      </w:r>
      <w:r w:rsidRPr="00E858F8">
        <w:rPr>
          <w:sz w:val="28"/>
          <w:szCs w:val="28"/>
        </w:rPr>
        <w:t>konstatētam iemeslam, kas pamatojas uz noteiktiem faktiem</w:t>
      </w:r>
      <w:r>
        <w:rPr>
          <w:sz w:val="28"/>
          <w:szCs w:val="28"/>
        </w:rPr>
        <w:t xml:space="preserve"> (pierādījumiem), kas minēti kodeksa 112.p.2.d.</w:t>
      </w:r>
      <w:r w:rsidRPr="00E858F8">
        <w:rPr>
          <w:sz w:val="28"/>
          <w:szCs w:val="28"/>
        </w:rPr>
        <w:t xml:space="preserve"> </w:t>
      </w:r>
      <w:r>
        <w:rPr>
          <w:sz w:val="28"/>
          <w:szCs w:val="28"/>
        </w:rPr>
        <w:t>No iepriekš teiktā ir secināms</w:t>
      </w:r>
      <w:r w:rsidRPr="00E858F8">
        <w:rPr>
          <w:sz w:val="28"/>
          <w:szCs w:val="28"/>
        </w:rPr>
        <w:t xml:space="preserve">, ja kāds izsaka </w:t>
      </w:r>
      <w:r w:rsidRPr="00E858F8">
        <w:rPr>
          <w:sz w:val="28"/>
          <w:szCs w:val="28"/>
        </w:rPr>
        <w:lastRenderedPageBreak/>
        <w:t>aizdomas, tad tām obligāti jābūt ir pamatotām ar faktiem un pierādījumiem, tā izslēdzot iespēju atsaukties uz varbūtību  un pieļāvumiem. Vācijas KPK 114.p.2.d. ir noteikts, ka aresta orderī ir obligāti jānorāda apcietināšanas iemesli un fakti kuri norāda uz apcietināšanas iemesliem, līdzīgs regulējums ir Latvijas KPL 274.p.5.d., kur ir norādīts, ka izmeklēšanas tiesnesis lēmumā pamato apcietinājuma piemērošanu ar konkrētiem, uz lietas materiāliem balstītiem apsvērumiem.</w:t>
      </w:r>
    </w:p>
    <w:p w:rsidR="007A0BB2" w:rsidRPr="00E858F8" w:rsidRDefault="007A0BB2" w:rsidP="007A0BB2">
      <w:pPr>
        <w:ind w:firstLine="720"/>
        <w:jc w:val="both"/>
        <w:rPr>
          <w:sz w:val="28"/>
          <w:szCs w:val="28"/>
        </w:rPr>
      </w:pPr>
      <w:r w:rsidRPr="00E858F8">
        <w:rPr>
          <w:sz w:val="28"/>
          <w:szCs w:val="28"/>
        </w:rPr>
        <w:t xml:space="preserve">Autors vēlas izcelt Vācijas KPK 115.p.3.d. normu, kurā ir noteikts, ka ‘’apsūdzētajai personai ir jādod iespēja atspēkot aizdomu un apcietināšanas iemeslus un pierādīt faktus, kas runātu personas aizstāvībai par labu.’’  </w:t>
      </w:r>
      <w:r>
        <w:rPr>
          <w:sz w:val="28"/>
          <w:szCs w:val="28"/>
        </w:rPr>
        <w:t xml:space="preserve">Autors ierosina </w:t>
      </w:r>
      <w:r w:rsidRPr="00E858F8">
        <w:rPr>
          <w:sz w:val="28"/>
          <w:szCs w:val="28"/>
        </w:rPr>
        <w:t xml:space="preserve"> </w:t>
      </w:r>
      <w:r>
        <w:rPr>
          <w:sz w:val="28"/>
          <w:szCs w:val="28"/>
        </w:rPr>
        <w:t>pārņemt šo</w:t>
      </w:r>
      <w:r w:rsidRPr="00E858F8">
        <w:rPr>
          <w:sz w:val="28"/>
          <w:szCs w:val="28"/>
        </w:rPr>
        <w:t xml:space="preserve"> </w:t>
      </w:r>
      <w:r>
        <w:rPr>
          <w:sz w:val="28"/>
          <w:szCs w:val="28"/>
        </w:rPr>
        <w:t>norma</w:t>
      </w:r>
      <w:r w:rsidRPr="00E858F8">
        <w:rPr>
          <w:sz w:val="28"/>
          <w:szCs w:val="28"/>
        </w:rPr>
        <w:t xml:space="preserve"> </w:t>
      </w:r>
      <w:r>
        <w:rPr>
          <w:sz w:val="28"/>
          <w:szCs w:val="28"/>
        </w:rPr>
        <w:t>un iekļaut to</w:t>
      </w:r>
      <w:r w:rsidRPr="00E858F8">
        <w:rPr>
          <w:sz w:val="28"/>
          <w:szCs w:val="28"/>
        </w:rPr>
        <w:t xml:space="preserve"> Latvijas KPL 274.p.</w:t>
      </w:r>
      <w:r>
        <w:rPr>
          <w:sz w:val="28"/>
          <w:szCs w:val="28"/>
        </w:rPr>
        <w:t>, tā sekmējot</w:t>
      </w:r>
      <w:r w:rsidRPr="00E858F8">
        <w:rPr>
          <w:sz w:val="28"/>
          <w:szCs w:val="28"/>
        </w:rPr>
        <w:t xml:space="preserve"> realizēt apsūdzētā  tiesības uz aizstāvību. </w:t>
      </w:r>
      <w:r>
        <w:rPr>
          <w:sz w:val="28"/>
          <w:szCs w:val="28"/>
        </w:rPr>
        <w:t>Jāsecina</w:t>
      </w:r>
      <w:r w:rsidRPr="00E858F8">
        <w:rPr>
          <w:sz w:val="28"/>
          <w:szCs w:val="28"/>
        </w:rPr>
        <w:t>, lai varētu atspēkot aizdomas un apcietināšanas iemeslus, personai ir jānodrošina iespēju iepazīties ar tiem materiāliem, kas ir iesniegti tiesā, pretējā gadījumā tādai normai ir deklaratīvs raksturs.</w:t>
      </w:r>
    </w:p>
    <w:p w:rsidR="007A0BB2" w:rsidRDefault="007A0BB2" w:rsidP="007A0BB2">
      <w:pPr>
        <w:jc w:val="both"/>
        <w:rPr>
          <w:sz w:val="28"/>
          <w:szCs w:val="28"/>
        </w:rPr>
      </w:pPr>
      <w:r w:rsidRPr="00E858F8">
        <w:rPr>
          <w:sz w:val="28"/>
          <w:szCs w:val="28"/>
        </w:rPr>
        <w:t xml:space="preserve">Vācijas KPK 117.p.3.d. ir noteikts, ka ‘’tiesnesis var dot rīkojumu par atsevišķu izmeklēšanas darbību veikšanu, kam ir nozīme turpmākā lēmuma pieņemšanai par apcietinājuma uz izmeklēšanas laiku pamatotību, un pēc šo izmeklēšanas darbību veikšanas veikt jaunu pārbaudi.’’ </w:t>
      </w:r>
    </w:p>
    <w:p w:rsidR="007A0BB2" w:rsidRPr="00E858F8" w:rsidRDefault="007A0BB2" w:rsidP="007A0BB2">
      <w:pPr>
        <w:ind w:firstLine="720"/>
        <w:jc w:val="both"/>
        <w:rPr>
          <w:sz w:val="28"/>
          <w:szCs w:val="28"/>
        </w:rPr>
      </w:pPr>
      <w:r w:rsidRPr="00E858F8">
        <w:rPr>
          <w:sz w:val="28"/>
          <w:szCs w:val="28"/>
        </w:rPr>
        <w:t xml:space="preserve">Savukārt Latvijas KPL </w:t>
      </w:r>
      <w:r>
        <w:rPr>
          <w:sz w:val="28"/>
          <w:szCs w:val="28"/>
        </w:rPr>
        <w:t xml:space="preserve">likumdevējs </w:t>
      </w:r>
      <w:r w:rsidRPr="00E858F8">
        <w:rPr>
          <w:sz w:val="28"/>
          <w:szCs w:val="28"/>
        </w:rPr>
        <w:t>izmeklēšanas tiesne</w:t>
      </w:r>
      <w:r>
        <w:rPr>
          <w:sz w:val="28"/>
          <w:szCs w:val="28"/>
        </w:rPr>
        <w:t>sim šādas tiesības nav deleģējis</w:t>
      </w:r>
      <w:r w:rsidRPr="00E858F8">
        <w:rPr>
          <w:sz w:val="28"/>
          <w:szCs w:val="28"/>
        </w:rPr>
        <w:t xml:space="preserve">. Uzskatu, ka šādas normas aizgūšana, ļautu izmeklēšanas tiesnesim pastiprināti </w:t>
      </w:r>
      <w:r>
        <w:rPr>
          <w:sz w:val="28"/>
          <w:szCs w:val="28"/>
        </w:rPr>
        <w:t>un vispusīgi veikt kontroli par turpmāko apcietinājuma nepieciešamības izvērtēšanu.</w:t>
      </w:r>
      <w:r w:rsidRPr="00E858F8">
        <w:rPr>
          <w:sz w:val="28"/>
          <w:szCs w:val="28"/>
        </w:rPr>
        <w:t xml:space="preserve"> Uz doto brīdi praksē ir izveidojusies situācija, ka apcietinājuma pārskatīšana notiek formāli, jo procesa virzītājam nav uzlikts par pienākumu iesniegt tiesai pierādījumus, ar kuriem būtu iespējams pamatot turpmāko apcietinājuma piemērošanu.</w:t>
      </w:r>
    </w:p>
    <w:p w:rsidR="007A0BB2" w:rsidRPr="00E858F8" w:rsidRDefault="007A0BB2" w:rsidP="007A0BB2">
      <w:pPr>
        <w:ind w:firstLine="720"/>
        <w:jc w:val="both"/>
        <w:rPr>
          <w:sz w:val="28"/>
          <w:szCs w:val="28"/>
        </w:rPr>
      </w:pPr>
      <w:r w:rsidRPr="00A647D6">
        <w:rPr>
          <w:bCs/>
          <w:color w:val="000000"/>
          <w:sz w:val="28"/>
          <w:szCs w:val="28"/>
        </w:rPr>
        <w:t xml:space="preserve">Savukārt </w:t>
      </w:r>
      <w:r w:rsidRPr="007C595D">
        <w:rPr>
          <w:bCs/>
          <w:color w:val="000000"/>
          <w:sz w:val="28"/>
          <w:szCs w:val="28"/>
        </w:rPr>
        <w:t xml:space="preserve">Lietuvas KPK </w:t>
      </w:r>
      <w:r>
        <w:rPr>
          <w:bCs/>
          <w:color w:val="000000"/>
          <w:sz w:val="28"/>
          <w:szCs w:val="28"/>
        </w:rPr>
        <w:t>a</w:t>
      </w:r>
      <w:r w:rsidRPr="007C595D">
        <w:rPr>
          <w:bCs/>
          <w:color w:val="000000"/>
          <w:sz w:val="28"/>
          <w:szCs w:val="28"/>
        </w:rPr>
        <w:t>pcietinājuma piemērošanas pamatojums un nosacījumi</w:t>
      </w:r>
      <w:r>
        <w:rPr>
          <w:bCs/>
          <w:color w:val="000000"/>
          <w:sz w:val="28"/>
          <w:szCs w:val="28"/>
        </w:rPr>
        <w:t xml:space="preserve"> ir noteikti</w:t>
      </w:r>
      <w:r w:rsidRPr="007C595D">
        <w:rPr>
          <w:bCs/>
          <w:color w:val="000000"/>
          <w:sz w:val="28"/>
          <w:szCs w:val="28"/>
        </w:rPr>
        <w:t xml:space="preserve"> </w:t>
      </w:r>
      <w:r>
        <w:rPr>
          <w:bCs/>
          <w:color w:val="000000"/>
          <w:sz w:val="28"/>
          <w:szCs w:val="28"/>
        </w:rPr>
        <w:t>122. pantā,  a</w:t>
      </w:r>
      <w:r w:rsidRPr="007C595D">
        <w:rPr>
          <w:sz w:val="28"/>
          <w:szCs w:val="28"/>
        </w:rPr>
        <w:t>pcietinājuma pamatojums</w:t>
      </w:r>
      <w:r>
        <w:rPr>
          <w:sz w:val="28"/>
          <w:szCs w:val="28"/>
        </w:rPr>
        <w:t xml:space="preserve"> tiek definēts, ka tas</w:t>
      </w:r>
      <w:r w:rsidRPr="007C595D">
        <w:rPr>
          <w:sz w:val="28"/>
          <w:szCs w:val="28"/>
        </w:rPr>
        <w:t xml:space="preserve"> ir</w:t>
      </w:r>
      <w:r w:rsidRPr="00E858F8">
        <w:rPr>
          <w:sz w:val="28"/>
          <w:szCs w:val="28"/>
        </w:rPr>
        <w:t xml:space="preserve"> pamatots uzskats, ka aizdomās turamais:</w:t>
      </w:r>
      <w:r>
        <w:rPr>
          <w:sz w:val="28"/>
          <w:szCs w:val="28"/>
        </w:rPr>
        <w:t xml:space="preserve"> </w:t>
      </w:r>
      <w:r w:rsidRPr="00E858F8">
        <w:rPr>
          <w:sz w:val="28"/>
          <w:szCs w:val="28"/>
        </w:rPr>
        <w:t>1) bēgs (slēpsies) no pirmstiesas izmeklēšanas amatpersonām, prokurora vai tiesas;</w:t>
      </w:r>
      <w:r>
        <w:rPr>
          <w:sz w:val="28"/>
          <w:szCs w:val="28"/>
        </w:rPr>
        <w:t xml:space="preserve"> </w:t>
      </w:r>
      <w:r w:rsidRPr="00E858F8">
        <w:rPr>
          <w:sz w:val="28"/>
          <w:szCs w:val="28"/>
        </w:rPr>
        <w:t>2) traucēs procesam;</w:t>
      </w:r>
      <w:r>
        <w:rPr>
          <w:sz w:val="28"/>
          <w:szCs w:val="28"/>
        </w:rPr>
        <w:t xml:space="preserve"> </w:t>
      </w:r>
      <w:r w:rsidRPr="00E858F8">
        <w:rPr>
          <w:sz w:val="28"/>
          <w:szCs w:val="28"/>
        </w:rPr>
        <w:t>3) izdarīs jau</w:t>
      </w:r>
      <w:r>
        <w:rPr>
          <w:sz w:val="28"/>
          <w:szCs w:val="28"/>
        </w:rPr>
        <w:t>nus</w:t>
      </w:r>
      <w:r w:rsidRPr="00E858F8">
        <w:rPr>
          <w:sz w:val="28"/>
          <w:szCs w:val="28"/>
        </w:rPr>
        <w:t xml:space="preserve"> noziegumus.</w:t>
      </w:r>
      <w:r>
        <w:rPr>
          <w:sz w:val="28"/>
          <w:szCs w:val="28"/>
        </w:rPr>
        <w:t xml:space="preserve"> </w:t>
      </w:r>
      <w:r w:rsidRPr="00E858F8">
        <w:rPr>
          <w:sz w:val="28"/>
          <w:szCs w:val="28"/>
        </w:rPr>
        <w:t>Ja tiek pamatoti uzskatīts, ka aizdomās turamais bēgs (slēpsies) no pirmstiesas izmeklēšanas amatpersonām, prokurora vai tiesas, apcietinājums var tikt piemērots, ņemot vērā aizdomās turamā ģimenes stāvokli, pastāvīgo dzīves vietu, darba attiecības, veselības stāvokli, iepriekšējās sodāmības, sakarus ārzemēs un citus apstākļus.</w:t>
      </w:r>
      <w:r>
        <w:rPr>
          <w:sz w:val="28"/>
          <w:szCs w:val="28"/>
        </w:rPr>
        <w:t xml:space="preserve"> </w:t>
      </w:r>
      <w:r w:rsidRPr="00E858F8">
        <w:rPr>
          <w:sz w:val="28"/>
          <w:szCs w:val="28"/>
        </w:rPr>
        <w:t>Ja tiek pamatoti uzskatīts, ka aizdomās turamais traucēs procesam, apcietinājums var tikt piemērots, ja ir ziņas, ka aizdomās turamais pats vai ar citu personu palīdzību var mēģināt:</w:t>
      </w:r>
      <w:r>
        <w:rPr>
          <w:sz w:val="28"/>
          <w:szCs w:val="28"/>
        </w:rPr>
        <w:t xml:space="preserve"> </w:t>
      </w:r>
      <w:r w:rsidRPr="00E858F8">
        <w:rPr>
          <w:sz w:val="28"/>
          <w:szCs w:val="28"/>
        </w:rPr>
        <w:t>1) ietekmēt cietušos, lieciniekus, ekspertus, citus aizdomās turamos, apsūdzētos vai notiesātos;</w:t>
      </w:r>
      <w:r>
        <w:rPr>
          <w:sz w:val="28"/>
          <w:szCs w:val="28"/>
        </w:rPr>
        <w:t xml:space="preserve"> </w:t>
      </w:r>
      <w:r w:rsidRPr="00E858F8">
        <w:rPr>
          <w:sz w:val="28"/>
          <w:szCs w:val="28"/>
        </w:rPr>
        <w:t xml:space="preserve">2) iznīcināt, noslēpt vai viltot </w:t>
      </w:r>
      <w:r w:rsidRPr="00E858F8">
        <w:rPr>
          <w:sz w:val="28"/>
          <w:szCs w:val="28"/>
        </w:rPr>
        <w:lastRenderedPageBreak/>
        <w:t>priekšmetus un dokumentus, kas ir svarīgi noziedzīgās darbības izmeklēšanai un izskatīšanai tiesā.</w:t>
      </w:r>
    </w:p>
    <w:p w:rsidR="007A0BB2" w:rsidRDefault="007A0BB2" w:rsidP="007A0BB2">
      <w:pPr>
        <w:ind w:firstLine="720"/>
        <w:jc w:val="both"/>
        <w:rPr>
          <w:sz w:val="28"/>
          <w:szCs w:val="28"/>
        </w:rPr>
      </w:pPr>
      <w:r>
        <w:rPr>
          <w:sz w:val="28"/>
          <w:szCs w:val="28"/>
        </w:rPr>
        <w:t xml:space="preserve">Bez tam  KPK ir noteikti papildus nosacījumi, kad var </w:t>
      </w:r>
      <w:r w:rsidRPr="00E858F8">
        <w:rPr>
          <w:sz w:val="28"/>
          <w:szCs w:val="28"/>
        </w:rPr>
        <w:t xml:space="preserve">piemērot </w:t>
      </w:r>
      <w:r>
        <w:rPr>
          <w:sz w:val="28"/>
          <w:szCs w:val="28"/>
        </w:rPr>
        <w:t>a</w:t>
      </w:r>
      <w:r w:rsidRPr="00E858F8">
        <w:rPr>
          <w:sz w:val="28"/>
          <w:szCs w:val="28"/>
        </w:rPr>
        <w:t xml:space="preserve">pcietinājumu </w:t>
      </w:r>
      <w:r>
        <w:rPr>
          <w:sz w:val="28"/>
          <w:szCs w:val="28"/>
        </w:rPr>
        <w:t>un tie ir sekojošie:</w:t>
      </w:r>
    </w:p>
    <w:p w:rsidR="007A0BB2" w:rsidRPr="00A647D6" w:rsidRDefault="007A0BB2" w:rsidP="007A0BB2">
      <w:pPr>
        <w:jc w:val="both"/>
        <w:rPr>
          <w:sz w:val="28"/>
          <w:szCs w:val="28"/>
        </w:rPr>
      </w:pPr>
      <w:r>
        <w:rPr>
          <w:sz w:val="28"/>
          <w:szCs w:val="28"/>
        </w:rPr>
        <w:t>- ir ziņas, ka</w:t>
      </w:r>
      <w:r w:rsidRPr="00A647D6">
        <w:rPr>
          <w:sz w:val="28"/>
          <w:szCs w:val="28"/>
        </w:rPr>
        <w:t xml:space="preserve"> atrodoties brīvībā, persona, kura tiek turēta aizdomās par draudēšanu vai mēģinājumu izdarīt noziegumu, šo noziegumu var izdarīt. Piemērojot apcietinājumu, jānorāda tā piemērošanas p</w:t>
      </w:r>
      <w:r>
        <w:rPr>
          <w:sz w:val="28"/>
          <w:szCs w:val="28"/>
        </w:rPr>
        <w:t>amatojums un motīvi;</w:t>
      </w:r>
    </w:p>
    <w:p w:rsidR="007A0BB2" w:rsidRPr="00E858F8" w:rsidRDefault="007A0BB2" w:rsidP="007A0BB2">
      <w:pPr>
        <w:jc w:val="both"/>
        <w:rPr>
          <w:sz w:val="28"/>
          <w:szCs w:val="28"/>
        </w:rPr>
      </w:pPr>
      <w:r>
        <w:rPr>
          <w:sz w:val="28"/>
          <w:szCs w:val="28"/>
        </w:rPr>
        <w:t>-</w:t>
      </w:r>
      <w:r w:rsidRPr="00E858F8">
        <w:rPr>
          <w:sz w:val="28"/>
          <w:szCs w:val="28"/>
        </w:rPr>
        <w:t xml:space="preserve"> tajos gadījumos, kad ar maigākiem drošības līdzekļiem nav iespējams sasniegt </w:t>
      </w:r>
      <w:r>
        <w:rPr>
          <w:sz w:val="28"/>
          <w:szCs w:val="28"/>
        </w:rPr>
        <w:t>KPK paredzētos mērķus;</w:t>
      </w:r>
    </w:p>
    <w:p w:rsidR="007A0BB2" w:rsidRPr="00E858F8" w:rsidRDefault="007A0BB2" w:rsidP="007A0BB2">
      <w:pPr>
        <w:jc w:val="both"/>
        <w:rPr>
          <w:sz w:val="28"/>
          <w:szCs w:val="28"/>
        </w:rPr>
      </w:pPr>
      <w:r>
        <w:rPr>
          <w:sz w:val="28"/>
          <w:szCs w:val="28"/>
        </w:rPr>
        <w:t xml:space="preserve">- </w:t>
      </w:r>
      <w:r w:rsidRPr="00E858F8">
        <w:rPr>
          <w:sz w:val="28"/>
          <w:szCs w:val="28"/>
        </w:rPr>
        <w:t>tikai izmeklējot un izskatot lietas par noziegumiem, par kuriem krimināllikums paredz bargāku sodu kā brīvības atņemšana uz vienu gadu.</w:t>
      </w:r>
    </w:p>
    <w:p w:rsidR="007A0BB2" w:rsidRPr="00E858F8" w:rsidRDefault="007A0BB2" w:rsidP="007A0BB2">
      <w:pPr>
        <w:ind w:firstLine="720"/>
        <w:jc w:val="both"/>
        <w:rPr>
          <w:b/>
          <w:bCs/>
          <w:color w:val="000000"/>
          <w:sz w:val="28"/>
          <w:szCs w:val="28"/>
        </w:rPr>
      </w:pPr>
      <w:r w:rsidRPr="00A647D6">
        <w:rPr>
          <w:sz w:val="28"/>
          <w:szCs w:val="28"/>
        </w:rPr>
        <w:t xml:space="preserve">Autors </w:t>
      </w:r>
      <w:r>
        <w:rPr>
          <w:sz w:val="28"/>
          <w:szCs w:val="28"/>
        </w:rPr>
        <w:t> uzskata</w:t>
      </w:r>
      <w:r w:rsidRPr="00E858F8">
        <w:rPr>
          <w:sz w:val="28"/>
          <w:szCs w:val="28"/>
        </w:rPr>
        <w:t>, ka Lietuvas kodeksā ir veiksmīgāk izmantots vārdu salikums, kas attiecas uz apcietinājuma pamatu t.i. ‘’ir pamatots uzskats’’ un nevis kā Latvijas KPL ‘’rada pamatotas aizdomas’’</w:t>
      </w:r>
      <w:r>
        <w:rPr>
          <w:sz w:val="28"/>
          <w:szCs w:val="28"/>
        </w:rPr>
        <w:t xml:space="preserve"> par , ko autors jau iepriekšējās darba nodaļās ir izteicies.</w:t>
      </w:r>
      <w:r>
        <w:rPr>
          <w:b/>
          <w:bCs/>
          <w:color w:val="000000"/>
          <w:sz w:val="28"/>
          <w:szCs w:val="28"/>
        </w:rPr>
        <w:t xml:space="preserve"> </w:t>
      </w:r>
      <w:r>
        <w:rPr>
          <w:sz w:val="28"/>
          <w:szCs w:val="28"/>
        </w:rPr>
        <w:t>Vārdnīcā vārds ‘’</w:t>
      </w:r>
      <w:r>
        <w:rPr>
          <w:i/>
          <w:sz w:val="28"/>
          <w:szCs w:val="28"/>
        </w:rPr>
        <w:t>uzskats</w:t>
      </w:r>
      <w:r>
        <w:rPr>
          <w:sz w:val="28"/>
          <w:szCs w:val="28"/>
        </w:rPr>
        <w:t>’’ tiek skaidrots, kā – Viedoklis; pārliecība.</w:t>
      </w:r>
      <w:r>
        <w:rPr>
          <w:rStyle w:val="FootnoteReference"/>
          <w:sz w:val="28"/>
          <w:szCs w:val="28"/>
        </w:rPr>
        <w:footnoteReference w:id="35"/>
      </w:r>
      <w:r>
        <w:rPr>
          <w:bCs/>
          <w:color w:val="000000"/>
          <w:sz w:val="28"/>
          <w:szCs w:val="28"/>
        </w:rPr>
        <w:t>J</w:t>
      </w:r>
      <w:r w:rsidRPr="00E858F8">
        <w:rPr>
          <w:bCs/>
          <w:color w:val="000000"/>
          <w:sz w:val="28"/>
          <w:szCs w:val="28"/>
        </w:rPr>
        <w:t xml:space="preserve">a ir savākti pierādījumi, tad tie tikai var dot pamatu uzskatīt, ka aizdomās turētais veiks kaut kādas prettiesiskas darbības, lai traucētu izmeklēšanu. Latvijas tiesu praksē bieži </w:t>
      </w:r>
      <w:r>
        <w:rPr>
          <w:bCs/>
          <w:color w:val="000000"/>
          <w:sz w:val="28"/>
          <w:szCs w:val="28"/>
        </w:rPr>
        <w:t>‘’</w:t>
      </w:r>
      <w:r w:rsidRPr="00E858F8">
        <w:rPr>
          <w:bCs/>
          <w:color w:val="000000"/>
          <w:sz w:val="28"/>
          <w:szCs w:val="28"/>
        </w:rPr>
        <w:t>pamatotas aizdomas</w:t>
      </w:r>
      <w:r>
        <w:rPr>
          <w:bCs/>
          <w:color w:val="000000"/>
          <w:sz w:val="28"/>
          <w:szCs w:val="28"/>
        </w:rPr>
        <w:t>’’</w:t>
      </w:r>
      <w:r w:rsidRPr="00E858F8">
        <w:rPr>
          <w:bCs/>
          <w:color w:val="000000"/>
          <w:sz w:val="28"/>
          <w:szCs w:val="28"/>
        </w:rPr>
        <w:t xml:space="preserve"> tiek asociētas ar pieņēmumiem un pieļāvumiem, kas netiek balstīti uz pierādījumiem. Uzskatu, ka Latvijas KPL varētu aizgūt šo formulējumu, lai nerastos juridiskas dabas  pārpratumi. </w:t>
      </w:r>
    </w:p>
    <w:p w:rsidR="007A0BB2" w:rsidRPr="00E555CB" w:rsidRDefault="007A0BB2" w:rsidP="007A0BB2">
      <w:pPr>
        <w:ind w:firstLine="720"/>
        <w:jc w:val="both"/>
        <w:rPr>
          <w:bCs/>
          <w:color w:val="000000"/>
          <w:sz w:val="28"/>
          <w:szCs w:val="28"/>
        </w:rPr>
      </w:pPr>
      <w:r w:rsidRPr="00E555CB">
        <w:rPr>
          <w:bCs/>
          <w:color w:val="000000"/>
          <w:sz w:val="28"/>
          <w:szCs w:val="28"/>
        </w:rPr>
        <w:t>Apcietinājuma piemērošanas kārtība</w:t>
      </w:r>
      <w:r w:rsidRPr="008F0BA2">
        <w:rPr>
          <w:b/>
          <w:bCs/>
          <w:color w:val="000000"/>
          <w:sz w:val="28"/>
          <w:szCs w:val="28"/>
        </w:rPr>
        <w:t xml:space="preserve"> </w:t>
      </w:r>
      <w:r w:rsidRPr="008F0BA2">
        <w:rPr>
          <w:bCs/>
          <w:color w:val="000000"/>
          <w:sz w:val="28"/>
          <w:szCs w:val="28"/>
        </w:rPr>
        <w:t>ir noteikta KPL 274.pantā</w:t>
      </w:r>
      <w:r>
        <w:rPr>
          <w:bCs/>
          <w:color w:val="000000"/>
          <w:sz w:val="28"/>
          <w:szCs w:val="28"/>
        </w:rPr>
        <w:t xml:space="preserve">. </w:t>
      </w:r>
      <w:r w:rsidRPr="00376FF5">
        <w:rPr>
          <w:sz w:val="28"/>
          <w:szCs w:val="28"/>
        </w:rPr>
        <w:t xml:space="preserve">Par apcietinājuma piemērošanu pirmstiesas procesā slēgtā tiesas sēdē lemj izmeklēšanas tiesnesis, izskatot procesa virzītāja ierosinājumu, uzklausot </w:t>
      </w:r>
      <w:r>
        <w:rPr>
          <w:sz w:val="28"/>
          <w:szCs w:val="28"/>
        </w:rPr>
        <w:t>procesa virzītāju, personu</w:t>
      </w:r>
      <w:r w:rsidRPr="00376FF5">
        <w:rPr>
          <w:sz w:val="28"/>
          <w:szCs w:val="28"/>
        </w:rPr>
        <w:t>, par kuras apcietināšanu tiek lemts</w:t>
      </w:r>
      <w:r>
        <w:rPr>
          <w:sz w:val="28"/>
          <w:szCs w:val="28"/>
        </w:rPr>
        <w:t xml:space="preserve"> un tās aizstāvja</w:t>
      </w:r>
      <w:r w:rsidRPr="00376FF5">
        <w:rPr>
          <w:sz w:val="28"/>
          <w:szCs w:val="28"/>
        </w:rPr>
        <w:t xml:space="preserve"> viedokli, kā arī izskatot lietas materiālus un izvērtējot apcietināšanas iemeslus un pamatu.</w:t>
      </w:r>
      <w:r>
        <w:rPr>
          <w:sz w:val="28"/>
          <w:szCs w:val="28"/>
        </w:rPr>
        <w:t xml:space="preserve"> </w:t>
      </w:r>
    </w:p>
    <w:p w:rsidR="007A0BB2" w:rsidRPr="00376FF5" w:rsidRDefault="007A0BB2" w:rsidP="007A0BB2">
      <w:pPr>
        <w:pStyle w:val="naisf"/>
        <w:spacing w:before="0" w:beforeAutospacing="0" w:after="0" w:afterAutospacing="0"/>
        <w:ind w:firstLine="720"/>
        <w:jc w:val="both"/>
        <w:rPr>
          <w:sz w:val="28"/>
          <w:szCs w:val="28"/>
          <w:lang w:val="lv-LV"/>
        </w:rPr>
      </w:pPr>
      <w:r w:rsidRPr="00376FF5">
        <w:rPr>
          <w:sz w:val="28"/>
          <w:szCs w:val="28"/>
          <w:lang w:val="lv-LV"/>
        </w:rPr>
        <w:t>Izmeklēšanas tiesnesis slēgtā tiesas sēdē, kuras gaita tiek fiksēta protokolā, pieņem vienu no šādiem lēmumiem:</w:t>
      </w:r>
    </w:p>
    <w:p w:rsidR="007A0BB2" w:rsidRPr="00376FF5" w:rsidRDefault="007A0BB2" w:rsidP="007A0BB2">
      <w:pPr>
        <w:pStyle w:val="naisf"/>
        <w:spacing w:before="0" w:beforeAutospacing="0" w:after="0" w:afterAutospacing="0"/>
        <w:jc w:val="both"/>
        <w:rPr>
          <w:sz w:val="28"/>
          <w:szCs w:val="28"/>
          <w:lang w:val="lv-LV"/>
        </w:rPr>
      </w:pPr>
      <w:r w:rsidRPr="00376FF5">
        <w:rPr>
          <w:sz w:val="28"/>
          <w:szCs w:val="28"/>
          <w:lang w:val="lv-LV"/>
        </w:rPr>
        <w:t>1) atteikt apcietinājuma piemērošanu;</w:t>
      </w:r>
    </w:p>
    <w:p w:rsidR="007A0BB2" w:rsidRPr="00376FF5" w:rsidRDefault="007A0BB2" w:rsidP="007A0BB2">
      <w:pPr>
        <w:pStyle w:val="naisf"/>
        <w:spacing w:before="0" w:beforeAutospacing="0" w:after="0" w:afterAutospacing="0"/>
        <w:jc w:val="both"/>
        <w:rPr>
          <w:sz w:val="28"/>
          <w:szCs w:val="28"/>
          <w:lang w:val="lv-LV"/>
        </w:rPr>
      </w:pPr>
      <w:r w:rsidRPr="00376FF5">
        <w:rPr>
          <w:sz w:val="28"/>
          <w:szCs w:val="28"/>
          <w:lang w:val="lv-LV"/>
        </w:rPr>
        <w:t>2) atteikt apcietinājuma piemērošanu, bet piemērot mājas arestu;</w:t>
      </w:r>
    </w:p>
    <w:p w:rsidR="007A0BB2" w:rsidRPr="00376FF5" w:rsidRDefault="007A0BB2" w:rsidP="007A0BB2">
      <w:pPr>
        <w:pStyle w:val="naisf"/>
        <w:spacing w:before="0" w:beforeAutospacing="0" w:after="0" w:afterAutospacing="0"/>
        <w:jc w:val="both"/>
        <w:rPr>
          <w:sz w:val="28"/>
          <w:szCs w:val="28"/>
          <w:lang w:val="lv-LV"/>
        </w:rPr>
      </w:pPr>
      <w:r w:rsidRPr="00376FF5">
        <w:rPr>
          <w:sz w:val="28"/>
          <w:szCs w:val="28"/>
          <w:lang w:val="lv-LV"/>
        </w:rPr>
        <w:t>3) atteikt apcietinājuma piemērošanu, bet piemērot ievietošanu sociālās korekcijas izglītības iestādē;</w:t>
      </w:r>
    </w:p>
    <w:p w:rsidR="007A0BB2" w:rsidRPr="00376FF5" w:rsidRDefault="007A0BB2" w:rsidP="007A0BB2">
      <w:pPr>
        <w:pStyle w:val="naisf"/>
        <w:spacing w:before="0" w:beforeAutospacing="0" w:after="0" w:afterAutospacing="0"/>
        <w:jc w:val="both"/>
        <w:rPr>
          <w:sz w:val="28"/>
          <w:szCs w:val="28"/>
          <w:lang w:val="lv-LV"/>
        </w:rPr>
      </w:pPr>
      <w:r w:rsidRPr="00376FF5">
        <w:rPr>
          <w:sz w:val="28"/>
          <w:szCs w:val="28"/>
          <w:lang w:val="lv-LV"/>
        </w:rPr>
        <w:t>4) piemērot apcietinājumu;</w:t>
      </w:r>
    </w:p>
    <w:p w:rsidR="007A0BB2" w:rsidRPr="00376FF5" w:rsidRDefault="007A0BB2" w:rsidP="007A0BB2">
      <w:pPr>
        <w:pStyle w:val="naisf"/>
        <w:spacing w:before="0" w:beforeAutospacing="0" w:after="0" w:afterAutospacing="0"/>
        <w:jc w:val="both"/>
        <w:rPr>
          <w:sz w:val="28"/>
          <w:szCs w:val="28"/>
          <w:lang w:val="lv-LV"/>
        </w:rPr>
      </w:pPr>
      <w:r w:rsidRPr="00376FF5">
        <w:rPr>
          <w:sz w:val="28"/>
          <w:szCs w:val="28"/>
          <w:lang w:val="lv-LV"/>
        </w:rPr>
        <w:t>5) piemērot apcietinājumu un noteikt personas meklēšanu.</w:t>
      </w:r>
    </w:p>
    <w:p w:rsidR="007A0BB2" w:rsidRPr="00376FF5" w:rsidRDefault="007A0BB2" w:rsidP="007A0BB2">
      <w:pPr>
        <w:pStyle w:val="naisf"/>
        <w:spacing w:before="0" w:beforeAutospacing="0" w:after="0" w:afterAutospacing="0"/>
        <w:jc w:val="both"/>
        <w:rPr>
          <w:sz w:val="28"/>
          <w:szCs w:val="28"/>
          <w:lang w:val="lv-LV"/>
        </w:rPr>
      </w:pPr>
      <w:r w:rsidRPr="00376FF5">
        <w:rPr>
          <w:sz w:val="28"/>
          <w:szCs w:val="28"/>
          <w:lang w:val="lv-LV"/>
        </w:rPr>
        <w:t>Izmeklēšanas tiesnesis lēmumā pamato apcietinājuma vai cita drošības līdzekļa piemērošanu ar konkrētiem, uz lietas materiāliem balstītiem apsvērumiem.</w:t>
      </w:r>
    </w:p>
    <w:p w:rsidR="007A0BB2" w:rsidRPr="00AD67E4" w:rsidRDefault="007A0BB2" w:rsidP="007A0BB2">
      <w:pPr>
        <w:pStyle w:val="naisf"/>
        <w:spacing w:before="0" w:beforeAutospacing="0" w:after="0" w:afterAutospacing="0"/>
        <w:jc w:val="both"/>
        <w:rPr>
          <w:sz w:val="28"/>
          <w:szCs w:val="28"/>
          <w:lang w:val="lv-LV"/>
        </w:rPr>
      </w:pPr>
      <w:r w:rsidRPr="00376FF5">
        <w:rPr>
          <w:sz w:val="28"/>
          <w:szCs w:val="28"/>
          <w:lang w:val="lv-LV"/>
        </w:rPr>
        <w:lastRenderedPageBreak/>
        <w:t>Ja izmeklēšanas tiesnesis nepiekrīt procesa virzītāja ierosinājumam un atsaka apcietinājuma piemērošanu, viņš lēmumā norāda arī atteikuma motīvus.</w:t>
      </w:r>
      <w:r>
        <w:rPr>
          <w:sz w:val="28"/>
          <w:szCs w:val="28"/>
          <w:lang w:val="lv-LV"/>
        </w:rPr>
        <w:t xml:space="preserve"> </w:t>
      </w:r>
      <w:r w:rsidRPr="00AD67E4">
        <w:rPr>
          <w:sz w:val="28"/>
          <w:szCs w:val="28"/>
          <w:lang w:val="lv-LV"/>
        </w:rPr>
        <w:t>Pēc izmeklēšanas tiesneša lēmuma pasludināšanas tiesa klātesošajām personām 24 stundu laikā izsniedz motivēta lēmuma kopiju.</w:t>
      </w:r>
    </w:p>
    <w:p w:rsidR="007A0BB2" w:rsidRDefault="007A0BB2" w:rsidP="007A0BB2">
      <w:pPr>
        <w:ind w:firstLine="720"/>
        <w:jc w:val="both"/>
        <w:rPr>
          <w:sz w:val="28"/>
          <w:szCs w:val="28"/>
        </w:rPr>
      </w:pPr>
      <w:r>
        <w:rPr>
          <w:sz w:val="28"/>
          <w:szCs w:val="28"/>
        </w:rPr>
        <w:t xml:space="preserve">Autors vēlas vērst uzmanību uz augstāk minētā panta pirmo daļu, kurā ir norādīts, ka izmeklēšanas tiesnesis skata procesa virzītāja </w:t>
      </w:r>
      <w:r w:rsidRPr="00BD69D0">
        <w:rPr>
          <w:i/>
          <w:sz w:val="28"/>
          <w:szCs w:val="28"/>
        </w:rPr>
        <w:t>ierosinājumu</w:t>
      </w:r>
      <w:r>
        <w:rPr>
          <w:sz w:val="28"/>
          <w:szCs w:val="28"/>
        </w:rPr>
        <w:t>. Taču ne šinī  pantā, ne arī KPL 323.pantā, kurā minēts, ka procesa virzītājs raksta ierosinājumu,  nav norādīts kādiem kritērijiem un formai ir jāatbilst ierosinājuma saturam. Kriminālprocesa tiesībās ‘’kriminālprocesuālā dokumenta saturu veido kriminālprocesa gaitā pieņemto lēmumu un veikto procesuālo darbību fiksējums. Savukārt   ‘’kriminālprocesuālā dokumenta formu veido: dokumenta iekšējā forma jeb kriminālprocesuālā dokumenta vārdiskā jēga, kas izpaužas tekstuālā atspoguļojumā un teksta stilā, kā arī dokumenta ārēja forma jeb kriminālprocesuālā dokumenta strukturālās daļas, kas izvietotas loģiskā secībā t.i. ievaddaļa, aprakstošā, motīvu daļa un rezolutīvā jeb noslēguma daļa.’’</w:t>
      </w:r>
      <w:r>
        <w:rPr>
          <w:rStyle w:val="FootnoteReference"/>
          <w:sz w:val="28"/>
          <w:szCs w:val="28"/>
        </w:rPr>
        <w:footnoteReference w:id="36"/>
      </w:r>
      <w:r>
        <w:rPr>
          <w:sz w:val="28"/>
          <w:szCs w:val="28"/>
        </w:rPr>
        <w:t xml:space="preserve"> </w:t>
      </w:r>
    </w:p>
    <w:p w:rsidR="007A0BB2" w:rsidRDefault="007A0BB2" w:rsidP="007A0BB2">
      <w:pPr>
        <w:ind w:firstLine="720"/>
        <w:jc w:val="both"/>
        <w:rPr>
          <w:sz w:val="28"/>
          <w:szCs w:val="28"/>
        </w:rPr>
      </w:pPr>
      <w:r>
        <w:rPr>
          <w:sz w:val="28"/>
          <w:szCs w:val="28"/>
        </w:rPr>
        <w:t>Autors uzskata, ka ierosinājumam, kas tiek pieskaitīts pie ‘’kriminālprocesuālajiem dokumentiem’’</w:t>
      </w:r>
      <w:r>
        <w:rPr>
          <w:rStyle w:val="FootnoteReference"/>
          <w:sz w:val="28"/>
          <w:szCs w:val="28"/>
        </w:rPr>
        <w:footnoteReference w:id="37"/>
      </w:r>
      <w:r>
        <w:rPr>
          <w:sz w:val="28"/>
          <w:szCs w:val="28"/>
        </w:rPr>
        <w:t xml:space="preserve"> ir jābūt strikti reglamentētam, jo pamatojoties uz ierosinājumu izmeklēšanas tiesnesis izlemj vai piemērot vai atteikt pašu stingrāko un cilvēktiesību ierobežojošāko drošības līdzekli -apcietinājumu. </w:t>
      </w:r>
    </w:p>
    <w:p w:rsidR="007A0BB2" w:rsidRPr="00BD69D0" w:rsidRDefault="007A0BB2" w:rsidP="007A0BB2">
      <w:pPr>
        <w:ind w:firstLine="720"/>
        <w:jc w:val="both"/>
        <w:rPr>
          <w:sz w:val="28"/>
          <w:szCs w:val="28"/>
        </w:rPr>
      </w:pPr>
      <w:r>
        <w:rPr>
          <w:sz w:val="28"/>
          <w:szCs w:val="28"/>
        </w:rPr>
        <w:t xml:space="preserve">Autora skatījumā ierosinājuma sagatavošanai būtu jāatbilst tādiem pašiem stingriem kritērijiem, kas ir izvirzīti KPL 318.p. un 320.p., noformējot motivētus lēmumus, kā piemēram, piespiedu līdzekļa piemērošana, personas saukšanu pie kriminālatbildības u.c. Tiesu praksē saskaroties ar procesa virzītāju ierosinājumiem, jāsecina, ka  tie tiek sagatavoti nepilnīgi, virspusēji, nav strukturēti. Bieži ierosinājumā iztrūkst motīvu daļa, kurā būtu pienākums procesa virzītājam savus izteiktos secinājumus pamatot ar lietā iegūtiem un nostiprinātiem pierādījumiem, kā ilustrējošu piemēru skatīt </w:t>
      </w:r>
      <w:r w:rsidRPr="00303237">
        <w:rPr>
          <w:i/>
          <w:sz w:val="28"/>
          <w:szCs w:val="28"/>
        </w:rPr>
        <w:t>pielikumu nr.1</w:t>
      </w:r>
      <w:r>
        <w:rPr>
          <w:sz w:val="28"/>
          <w:szCs w:val="28"/>
        </w:rPr>
        <w:t>, kur atrodams 2007.gada 16.novembra ierosinājums. Strikti un precīzi reglamentējot ierosinājuma formu un saturu, būtu iespējams panākt, ka procesa virzītājs tiktu atturēts no nepamatotas griešanās ar ierosinājumu pie izmeklēšanas tiesneša.</w:t>
      </w:r>
      <w:r w:rsidRPr="000A0FE2">
        <w:rPr>
          <w:sz w:val="28"/>
          <w:szCs w:val="28"/>
        </w:rPr>
        <w:t xml:space="preserve"> </w:t>
      </w:r>
      <w:r>
        <w:rPr>
          <w:sz w:val="28"/>
          <w:szCs w:val="28"/>
        </w:rPr>
        <w:t>Bez tam, vajadzētu noteikt, ka pie ierosinājuma ir jāpievieno</w:t>
      </w:r>
      <w:r w:rsidRPr="00E858F8">
        <w:rPr>
          <w:sz w:val="28"/>
          <w:szCs w:val="28"/>
        </w:rPr>
        <w:t xml:space="preserve"> materiāli, kas apliecina ierosinājuma pamatojumu.</w:t>
      </w:r>
    </w:p>
    <w:p w:rsidR="007A0BB2" w:rsidRPr="00E858F8" w:rsidRDefault="007A0BB2" w:rsidP="007A0BB2">
      <w:pPr>
        <w:ind w:firstLine="720"/>
        <w:jc w:val="both"/>
        <w:rPr>
          <w:sz w:val="28"/>
          <w:szCs w:val="28"/>
        </w:rPr>
      </w:pPr>
      <w:r>
        <w:rPr>
          <w:sz w:val="28"/>
          <w:szCs w:val="28"/>
        </w:rPr>
        <w:t xml:space="preserve">Salīdzināšanai, </w:t>
      </w:r>
      <w:r w:rsidRPr="00BD69D0">
        <w:rPr>
          <w:sz w:val="28"/>
          <w:szCs w:val="28"/>
        </w:rPr>
        <w:t>KF KPK 108.p.</w:t>
      </w:r>
      <w:r>
        <w:rPr>
          <w:sz w:val="28"/>
          <w:szCs w:val="28"/>
        </w:rPr>
        <w:t>, kur ir reglamentēta  apcietinājuma piemērošanas kārtība, 3.daļā</w:t>
      </w:r>
      <w:r w:rsidRPr="00E858F8">
        <w:rPr>
          <w:sz w:val="28"/>
          <w:szCs w:val="28"/>
        </w:rPr>
        <w:t xml:space="preserve"> ir noteikts, ka lēmumā par ierosinājumu piemērot apcietinājumu jābūt atspoguļotiem motīviem un pamatam, </w:t>
      </w:r>
      <w:r w:rsidRPr="00E858F8">
        <w:rPr>
          <w:sz w:val="28"/>
          <w:szCs w:val="28"/>
        </w:rPr>
        <w:lastRenderedPageBreak/>
        <w:t>sakarā ar ko ir radusies nepieciešamība piemērot apcietinājumu. Pie lēmuma pievienojas materiāli, kas apliecina ierosinājuma pamatojumu.</w:t>
      </w:r>
    </w:p>
    <w:p w:rsidR="007A0BB2" w:rsidRPr="00E858F8" w:rsidRDefault="007A0BB2" w:rsidP="007A0BB2">
      <w:pPr>
        <w:jc w:val="both"/>
        <w:rPr>
          <w:sz w:val="28"/>
          <w:szCs w:val="28"/>
        </w:rPr>
      </w:pPr>
      <w:r w:rsidRPr="00E858F8">
        <w:rPr>
          <w:sz w:val="28"/>
          <w:szCs w:val="28"/>
        </w:rPr>
        <w:t>Ja tiesa neapmierina apcietinājuma ierosinājumu, tiesa pēc savas iniciatīvas, ja pastāv pamats piemērot drošības līdzek</w:t>
      </w:r>
      <w:r>
        <w:rPr>
          <w:sz w:val="28"/>
          <w:szCs w:val="28"/>
        </w:rPr>
        <w:t>li,</w:t>
      </w:r>
      <w:r w:rsidRPr="00E858F8">
        <w:rPr>
          <w:sz w:val="28"/>
          <w:szCs w:val="28"/>
        </w:rPr>
        <w:t xml:space="preserve"> t</w:t>
      </w:r>
      <w:r>
        <w:rPr>
          <w:sz w:val="28"/>
          <w:szCs w:val="28"/>
        </w:rPr>
        <w:t>iesa</w:t>
      </w:r>
      <w:r w:rsidRPr="00E858F8">
        <w:rPr>
          <w:sz w:val="28"/>
          <w:szCs w:val="28"/>
        </w:rPr>
        <w:t xml:space="preserve"> ir tiesīga piemērot drošības naudu vai mājas arestu .</w:t>
      </w:r>
    </w:p>
    <w:p w:rsidR="007A0BB2" w:rsidRPr="00E858F8" w:rsidRDefault="007A0BB2" w:rsidP="007A0BB2">
      <w:pPr>
        <w:ind w:firstLine="720"/>
        <w:jc w:val="both"/>
        <w:rPr>
          <w:sz w:val="28"/>
          <w:szCs w:val="28"/>
        </w:rPr>
      </w:pPr>
      <w:r w:rsidRPr="005033D4">
        <w:rPr>
          <w:sz w:val="28"/>
          <w:szCs w:val="28"/>
        </w:rPr>
        <w:t>‘’Likums</w:t>
      </w:r>
      <w:r w:rsidRPr="00E858F8">
        <w:rPr>
          <w:sz w:val="28"/>
          <w:szCs w:val="28"/>
        </w:rPr>
        <w:t xml:space="preserve"> nenosaka, kādus materiālus ir nepieciešams pievienot pi</w:t>
      </w:r>
      <w:r>
        <w:rPr>
          <w:sz w:val="28"/>
          <w:szCs w:val="28"/>
        </w:rPr>
        <w:t>e ierosinājuma, taču jāpieļauj</w:t>
      </w:r>
      <w:r w:rsidRPr="00E858F8">
        <w:rPr>
          <w:sz w:val="28"/>
          <w:szCs w:val="28"/>
        </w:rPr>
        <w:t>, ka tie ir aizturēšanas protokols, lēmums par atdzīšanu par aizdomās turēto vai lēmums par saukšanu pie kriminālatbildības, pratināšanas protokoli un pierādījumi, kas pamato aizturēšanas iem</w:t>
      </w:r>
      <w:r>
        <w:rPr>
          <w:sz w:val="28"/>
          <w:szCs w:val="28"/>
        </w:rPr>
        <w:t>eslu esamību’’.</w:t>
      </w:r>
    </w:p>
    <w:p w:rsidR="007A0BB2" w:rsidRPr="00E858F8" w:rsidRDefault="007A0BB2" w:rsidP="007A0BB2">
      <w:pPr>
        <w:ind w:firstLine="720"/>
        <w:jc w:val="both"/>
        <w:rPr>
          <w:sz w:val="28"/>
          <w:szCs w:val="28"/>
        </w:rPr>
      </w:pPr>
      <w:r w:rsidRPr="00E858F8">
        <w:rPr>
          <w:sz w:val="28"/>
          <w:szCs w:val="28"/>
        </w:rPr>
        <w:t>Lūguma izskatīšana tiesā notiek sacīkstes formā: sākumā persona, kas lūdz piemērot apcietinājumu pamato savu lūgumu, atsaucoties uz materiāliem, kas ir pieejami tiesai pamato apcietinājuma nepieciešamību, tad izsakās persona, par kuru tiek lemts un  aizstāvis. Aizstāvībai ir tiesības iesni</w:t>
      </w:r>
      <w:r>
        <w:rPr>
          <w:sz w:val="28"/>
          <w:szCs w:val="28"/>
        </w:rPr>
        <w:t>e</w:t>
      </w:r>
      <w:r w:rsidRPr="00E858F8">
        <w:rPr>
          <w:sz w:val="28"/>
          <w:szCs w:val="28"/>
        </w:rPr>
        <w:t>gt materiālus (pierādījumus), kas atspēko apsūdzības argumentus.</w:t>
      </w:r>
    </w:p>
    <w:p w:rsidR="007A0BB2" w:rsidRPr="00E858F8" w:rsidRDefault="007A0BB2" w:rsidP="007A0BB2">
      <w:pPr>
        <w:ind w:firstLine="720"/>
        <w:jc w:val="both"/>
        <w:rPr>
          <w:sz w:val="28"/>
          <w:szCs w:val="28"/>
        </w:rPr>
      </w:pPr>
      <w:r w:rsidRPr="00E858F8">
        <w:rPr>
          <w:sz w:val="28"/>
          <w:szCs w:val="28"/>
        </w:rPr>
        <w:t>Ja tiesa ir pieņēmusi lēmumu par apcietinājuma piemērošanu, tiesai ir pienākums norādīt lēmumā konkrētus faktiskos apstākļus, uz kuru pamata pieņemts šāds lēmums. Konkrētuma pienākums nozīmē, ka tiesas lēmumam ir jābalstās uz lietā noskaidrotiem konkrētiem faktiem, bet ne uz abstraktiem spriedelējumiem un pieļāvumiem.’’</w:t>
      </w:r>
      <w:r w:rsidRPr="00E858F8">
        <w:rPr>
          <w:rStyle w:val="FootnoteReference"/>
          <w:sz w:val="28"/>
          <w:szCs w:val="28"/>
        </w:rPr>
        <w:footnoteReference w:id="38"/>
      </w:r>
    </w:p>
    <w:p w:rsidR="007A0BB2" w:rsidRPr="00DE362A" w:rsidRDefault="007A0BB2" w:rsidP="007A0BB2">
      <w:pPr>
        <w:ind w:firstLine="720"/>
        <w:jc w:val="both"/>
        <w:rPr>
          <w:sz w:val="28"/>
          <w:szCs w:val="28"/>
        </w:rPr>
      </w:pPr>
      <w:r>
        <w:rPr>
          <w:bCs/>
          <w:color w:val="000000"/>
          <w:sz w:val="28"/>
          <w:szCs w:val="28"/>
        </w:rPr>
        <w:t xml:space="preserve">Arī Lietuvas </w:t>
      </w:r>
      <w:r w:rsidRPr="00FE66FF">
        <w:rPr>
          <w:bCs/>
          <w:color w:val="000000"/>
          <w:sz w:val="28"/>
          <w:szCs w:val="28"/>
        </w:rPr>
        <w:t xml:space="preserve">KPK 123. pantā ir noteikta apcietinājuma piemērošanas kārtība, </w:t>
      </w:r>
      <w:r>
        <w:rPr>
          <w:bCs/>
          <w:color w:val="000000"/>
          <w:sz w:val="28"/>
          <w:szCs w:val="28"/>
        </w:rPr>
        <w:t>kas būtiski neatšķiras no Latvijas KPK.</w:t>
      </w:r>
      <w:r>
        <w:rPr>
          <w:sz w:val="28"/>
          <w:szCs w:val="28"/>
        </w:rPr>
        <w:t xml:space="preserve"> Taču a</w:t>
      </w:r>
      <w:r w:rsidRPr="00DE362A">
        <w:rPr>
          <w:sz w:val="28"/>
          <w:szCs w:val="28"/>
        </w:rPr>
        <w:t>utors uzskata</w:t>
      </w:r>
      <w:r w:rsidRPr="00E858F8">
        <w:rPr>
          <w:sz w:val="28"/>
          <w:szCs w:val="28"/>
        </w:rPr>
        <w:t xml:space="preserve">, ka būtu </w:t>
      </w:r>
      <w:r w:rsidRPr="006B526E">
        <w:rPr>
          <w:bCs/>
          <w:color w:val="000000"/>
          <w:sz w:val="28"/>
          <w:szCs w:val="28"/>
        </w:rPr>
        <w:t>ņ</w:t>
      </w:r>
      <w:r w:rsidRPr="00E858F8">
        <w:rPr>
          <w:bCs/>
          <w:color w:val="000000"/>
          <w:sz w:val="28"/>
          <w:szCs w:val="28"/>
        </w:rPr>
        <w:t>emams vērā šī panta 5.punkta redakcija</w:t>
      </w:r>
      <w:r w:rsidRPr="00DE362A">
        <w:rPr>
          <w:sz w:val="28"/>
          <w:szCs w:val="28"/>
        </w:rPr>
        <w:t xml:space="preserve"> </w:t>
      </w:r>
      <w:r>
        <w:rPr>
          <w:sz w:val="28"/>
          <w:szCs w:val="28"/>
        </w:rPr>
        <w:t>‘’</w:t>
      </w:r>
      <w:r w:rsidRPr="00E858F8">
        <w:rPr>
          <w:sz w:val="28"/>
          <w:szCs w:val="28"/>
        </w:rPr>
        <w:t>Pieņemot lēmumu par apcietinājuma piemērošanu vai atstājot šo lēmumu spēkā, tiesnesim ir tiesības uzdot prokuroram noteiktā termiņā savākt papildu materiālus. Pēc to saņemšanas tiesnesis drīkst lemt par apcietinājuma atstāšanu spēkā vai noteikt jaunu apcietinājuma termiņu, vai arī šo drošības līdzekli mainīt vai atcelt</w:t>
      </w:r>
      <w:r>
        <w:rPr>
          <w:sz w:val="28"/>
          <w:szCs w:val="28"/>
        </w:rPr>
        <w:t>’’</w:t>
      </w:r>
      <w:r w:rsidRPr="00E858F8">
        <w:rPr>
          <w:bCs/>
          <w:color w:val="000000"/>
          <w:sz w:val="28"/>
          <w:szCs w:val="28"/>
        </w:rPr>
        <w:t>, kuru būtu nepieciešams ieviest arī mūsu KP</w:t>
      </w:r>
      <w:r>
        <w:rPr>
          <w:bCs/>
          <w:color w:val="000000"/>
          <w:sz w:val="28"/>
          <w:szCs w:val="28"/>
        </w:rPr>
        <w:t xml:space="preserve">L 274.p. </w:t>
      </w:r>
      <w:r w:rsidRPr="00E858F8">
        <w:rPr>
          <w:bCs/>
          <w:color w:val="000000"/>
          <w:sz w:val="28"/>
          <w:szCs w:val="28"/>
        </w:rPr>
        <w:t xml:space="preserve">Gadījumos, kad tiesai nav par kaut ko pārliecība, bet rodas šaubas, tai būtu tiesības uzdot  </w:t>
      </w:r>
      <w:r w:rsidRPr="00E858F8">
        <w:rPr>
          <w:sz w:val="28"/>
          <w:szCs w:val="28"/>
        </w:rPr>
        <w:t xml:space="preserve">prokuroram noteiktā termiņā savākt papildu materiālus t.i. pierādījumus. Pēc to saņemšanas tiesnesis drīkstētu lemt par apcietinājuma atstāšanu spēkā vai noteikt jaunu apcietinājuma termiņu, vai arī šo drošības līdzekli mainīt vai atcelt. Tādā veidā persona, kurai ir tiesības uz aizstāvību būtu aizsargāta no nepamatota apcietinājuma piemērošanas. Šāda norma pildītu ‘’filtra’’ funkcijas. </w:t>
      </w:r>
    </w:p>
    <w:p w:rsidR="007A0BB2" w:rsidRPr="00C54AF4" w:rsidRDefault="007A0BB2" w:rsidP="007A0BB2">
      <w:pPr>
        <w:ind w:firstLine="720"/>
        <w:jc w:val="both"/>
        <w:rPr>
          <w:sz w:val="28"/>
          <w:szCs w:val="28"/>
        </w:rPr>
      </w:pPr>
      <w:r>
        <w:rPr>
          <w:sz w:val="28"/>
          <w:szCs w:val="28"/>
        </w:rPr>
        <w:t>Kā redzams,</w:t>
      </w:r>
      <w:r w:rsidRPr="00E858F8">
        <w:rPr>
          <w:sz w:val="28"/>
          <w:szCs w:val="28"/>
        </w:rPr>
        <w:t xml:space="preserve"> ka</w:t>
      </w:r>
      <w:r>
        <w:rPr>
          <w:sz w:val="28"/>
          <w:szCs w:val="28"/>
        </w:rPr>
        <w:t xml:space="preserve">s pēc </w:t>
      </w:r>
      <w:r w:rsidRPr="00E858F8">
        <w:rPr>
          <w:i/>
          <w:sz w:val="28"/>
          <w:szCs w:val="28"/>
        </w:rPr>
        <w:t xml:space="preserve"> </w:t>
      </w:r>
      <w:r>
        <w:rPr>
          <w:sz w:val="28"/>
          <w:szCs w:val="28"/>
        </w:rPr>
        <w:t>autora ieskatiem ir</w:t>
      </w:r>
      <w:r w:rsidRPr="00E858F8">
        <w:rPr>
          <w:sz w:val="28"/>
          <w:szCs w:val="28"/>
        </w:rPr>
        <w:t xml:space="preserve"> ļoti</w:t>
      </w:r>
      <w:r w:rsidRPr="00E858F8">
        <w:rPr>
          <w:i/>
          <w:sz w:val="28"/>
          <w:szCs w:val="28"/>
        </w:rPr>
        <w:t xml:space="preserve"> </w:t>
      </w:r>
      <w:r w:rsidRPr="00E858F8">
        <w:rPr>
          <w:sz w:val="28"/>
          <w:szCs w:val="28"/>
        </w:rPr>
        <w:t>svarīgi, ka Lietuvas KPK ir atrunāts, ka pirmstiesas izmeklēšanas tiesnesim ir deleģēt</w:t>
      </w:r>
      <w:r>
        <w:rPr>
          <w:sz w:val="28"/>
          <w:szCs w:val="28"/>
        </w:rPr>
        <w:t>a</w:t>
      </w:r>
      <w:r w:rsidRPr="00E858F8">
        <w:rPr>
          <w:sz w:val="28"/>
          <w:szCs w:val="28"/>
        </w:rPr>
        <w:t>s</w:t>
      </w:r>
      <w:r>
        <w:rPr>
          <w:sz w:val="28"/>
          <w:szCs w:val="28"/>
        </w:rPr>
        <w:t xml:space="preserve"> tiesības </w:t>
      </w:r>
      <w:r w:rsidRPr="00E858F8">
        <w:rPr>
          <w:sz w:val="28"/>
          <w:szCs w:val="28"/>
        </w:rPr>
        <w:t xml:space="preserve"> pieņemot lēmum</w:t>
      </w:r>
      <w:r>
        <w:rPr>
          <w:sz w:val="28"/>
          <w:szCs w:val="28"/>
        </w:rPr>
        <w:t>u par apcietinājuma piemērošanu</w:t>
      </w:r>
      <w:r w:rsidRPr="00E858F8">
        <w:rPr>
          <w:sz w:val="28"/>
          <w:szCs w:val="28"/>
        </w:rPr>
        <w:t xml:space="preserve"> noteikt </w:t>
      </w:r>
      <w:r w:rsidRPr="00E858F8">
        <w:rPr>
          <w:sz w:val="28"/>
          <w:szCs w:val="28"/>
        </w:rPr>
        <w:lastRenderedPageBreak/>
        <w:t>konkrētu apcietinājuma termiņu</w:t>
      </w:r>
      <w:r>
        <w:rPr>
          <w:sz w:val="28"/>
          <w:szCs w:val="28"/>
        </w:rPr>
        <w:t>.</w:t>
      </w:r>
      <w:r w:rsidRPr="00E858F8">
        <w:rPr>
          <w:sz w:val="28"/>
          <w:szCs w:val="28"/>
        </w:rPr>
        <w:t xml:space="preserve"> Tas norāda, ka tiesai ir tiesības pašai izlemt vadoties no lietas apstākļiem un savāktajiem pierādījumiem uz kādu konkrētu termiņu piemērot apcietinājumu, tai nav pienākums uzrei</w:t>
      </w:r>
      <w:r>
        <w:rPr>
          <w:sz w:val="28"/>
          <w:szCs w:val="28"/>
        </w:rPr>
        <w:t>z noteikt maksimālo termiņu -</w:t>
      </w:r>
      <w:r w:rsidRPr="00E858F8">
        <w:rPr>
          <w:sz w:val="28"/>
          <w:szCs w:val="28"/>
        </w:rPr>
        <w:t xml:space="preserve"> 3 mēneši, </w:t>
      </w:r>
      <w:r>
        <w:rPr>
          <w:sz w:val="28"/>
          <w:szCs w:val="28"/>
        </w:rPr>
        <w:t xml:space="preserve">bet </w:t>
      </w:r>
      <w:r w:rsidRPr="00E858F8">
        <w:rPr>
          <w:sz w:val="28"/>
          <w:szCs w:val="28"/>
        </w:rPr>
        <w:t>Latvijā - 2 mēneši. Diemžēl Latvijā tiesu prakse rāda, ka tiesas nenorāda konkrētus termiņus tā izvairoties vērtēt un pamatot kāpēc apcietinājums būtu piemērojams uz sā</w:t>
      </w:r>
      <w:r>
        <w:rPr>
          <w:sz w:val="28"/>
          <w:szCs w:val="28"/>
        </w:rPr>
        <w:t>kotnēji maksimāli atļauto t.i. 2 mēnešiem (KPL 281.p.4.d.) un ne viss uz 2 vai 4 nedēļām</w:t>
      </w:r>
      <w:r w:rsidRPr="00E858F8">
        <w:rPr>
          <w:sz w:val="28"/>
          <w:szCs w:val="28"/>
        </w:rPr>
        <w:t>. Autors uzskata, ka tiesa nedrīkstētu tik formāli pieiet apcietinājuma termiņa noteikšanā, jo katrs gadījums ir individuāls. Bez tam, ja tiesa veiktu šādu termiņu piemērošanas izvērtēšanu, tā strikti ievērotu aizdomās turētās un apsūdzētā tiesības uz  taisnīgu tiesu un tiesības uz pamatotu lēmumu.</w:t>
      </w:r>
    </w:p>
    <w:p w:rsidR="007A0BB2" w:rsidRDefault="007A0BB2" w:rsidP="007A0BB2">
      <w:pPr>
        <w:ind w:firstLine="720"/>
        <w:jc w:val="both"/>
        <w:rPr>
          <w:sz w:val="28"/>
          <w:szCs w:val="28"/>
        </w:rPr>
      </w:pPr>
      <w:r>
        <w:rPr>
          <w:bCs/>
          <w:color w:val="000000"/>
          <w:sz w:val="28"/>
          <w:szCs w:val="28"/>
        </w:rPr>
        <w:t xml:space="preserve">Lietuvas KPK 127. pantā ir noteikts </w:t>
      </w:r>
      <w:r w:rsidRPr="00E555CB">
        <w:rPr>
          <w:bCs/>
          <w:color w:val="000000"/>
          <w:sz w:val="28"/>
          <w:szCs w:val="28"/>
        </w:rPr>
        <w:t xml:space="preserve">apcietinājuma piemērošanas ilgums </w:t>
      </w:r>
      <w:r w:rsidRPr="00C54AF4">
        <w:rPr>
          <w:bCs/>
          <w:color w:val="000000"/>
          <w:sz w:val="28"/>
          <w:szCs w:val="28"/>
        </w:rPr>
        <w:t>un tā termiņa pagarināšana</w:t>
      </w:r>
      <w:r>
        <w:rPr>
          <w:bCs/>
          <w:color w:val="000000"/>
          <w:sz w:val="28"/>
          <w:szCs w:val="28"/>
        </w:rPr>
        <w:t>.</w:t>
      </w:r>
      <w:r>
        <w:rPr>
          <w:sz w:val="28"/>
          <w:szCs w:val="28"/>
        </w:rPr>
        <w:t xml:space="preserve"> </w:t>
      </w:r>
      <w:r w:rsidRPr="00E858F8">
        <w:rPr>
          <w:bCs/>
          <w:color w:val="000000"/>
          <w:sz w:val="28"/>
          <w:szCs w:val="28"/>
        </w:rPr>
        <w:t>Autora skatījumā, Latvijas</w:t>
      </w:r>
      <w:r>
        <w:rPr>
          <w:bCs/>
          <w:color w:val="000000"/>
          <w:sz w:val="28"/>
          <w:szCs w:val="28"/>
        </w:rPr>
        <w:t xml:space="preserve"> KPL būtu nepieciešams izdalīt a</w:t>
      </w:r>
      <w:r w:rsidRPr="00E858F8">
        <w:rPr>
          <w:bCs/>
          <w:color w:val="000000"/>
          <w:sz w:val="28"/>
          <w:szCs w:val="28"/>
        </w:rPr>
        <w:t>pcietinājuma termiņa pagarināšanas kārtību, nosakot t</w:t>
      </w:r>
      <w:r>
        <w:rPr>
          <w:bCs/>
          <w:color w:val="000000"/>
          <w:sz w:val="28"/>
          <w:szCs w:val="28"/>
        </w:rPr>
        <w:t>ādu pašu kārtību kā Lietuvas KPK</w:t>
      </w:r>
      <w:r w:rsidRPr="00E858F8">
        <w:rPr>
          <w:bCs/>
          <w:color w:val="000000"/>
          <w:sz w:val="28"/>
          <w:szCs w:val="28"/>
        </w:rPr>
        <w:t xml:space="preserve"> 127.p.3. un 4.d., kur noteikts, ka </w:t>
      </w:r>
      <w:r w:rsidRPr="00E858F8">
        <w:rPr>
          <w:sz w:val="28"/>
          <w:szCs w:val="28"/>
        </w:rPr>
        <w:t>par apcietinājuma termiņa pagarināšanu pirmstiesas izmeklēšanas laikā prokuroram</w:t>
      </w:r>
      <w:r w:rsidRPr="00E858F8">
        <w:rPr>
          <w:bCs/>
          <w:color w:val="000000"/>
          <w:sz w:val="28"/>
          <w:szCs w:val="28"/>
        </w:rPr>
        <w:t xml:space="preserve"> jāgriežas pie izmeklēšanas tiesneša. </w:t>
      </w:r>
      <w:r w:rsidRPr="00E858F8">
        <w:rPr>
          <w:sz w:val="28"/>
          <w:szCs w:val="28"/>
        </w:rPr>
        <w:t>Prokurora iesniegumā jānorāda iemesli, kāpēc lieta uzskatāma par īpaši sarežģītu vai par liela apjoma, un jāmin galvenās pirmstiesas izmeklēšanas darbības, kas veiktas pēc apcietinājuma piemērošanas vai pēc apcietinājuma termiņa pēdējās pagarināšanas. Tas veicinātu cilvēktiesību ievērošanu attiecībā pret apsūdzēto vai aizdomās turēto, jo procesa virzītājam ir pien</w:t>
      </w:r>
      <w:r>
        <w:rPr>
          <w:sz w:val="28"/>
          <w:szCs w:val="28"/>
        </w:rPr>
        <w:t xml:space="preserve">ākums piestādīt jaunus faktus, </w:t>
      </w:r>
      <w:r w:rsidRPr="00E858F8">
        <w:rPr>
          <w:sz w:val="28"/>
          <w:szCs w:val="28"/>
        </w:rPr>
        <w:t xml:space="preserve">pierādīt ar procesuālajiem dokumentiem personas nepieciešamību turpināt atrasties apcietinājumā. Izmeklēšanas tiesnesim nav tiesības vākt vai gūt pierādījumus, lai tos analizētu un pieņemtu lēmumu par apcietinājuma pagarināšanu vai atteikšanu.  </w:t>
      </w:r>
    </w:p>
    <w:p w:rsidR="007A0BB2" w:rsidRPr="00E858F8" w:rsidRDefault="007A0BB2" w:rsidP="007A0BB2">
      <w:pPr>
        <w:ind w:firstLine="720"/>
        <w:jc w:val="both"/>
        <w:rPr>
          <w:sz w:val="28"/>
          <w:szCs w:val="28"/>
        </w:rPr>
      </w:pPr>
      <w:r w:rsidRPr="00E858F8">
        <w:rPr>
          <w:sz w:val="28"/>
          <w:szCs w:val="28"/>
        </w:rPr>
        <w:t>Uz doto brīdi, Latvijas KPL procesa virzītājam ir novērotāja</w:t>
      </w:r>
      <w:r>
        <w:rPr>
          <w:sz w:val="28"/>
          <w:szCs w:val="28"/>
        </w:rPr>
        <w:t xml:space="preserve"> jeb statista</w:t>
      </w:r>
      <w:r w:rsidRPr="00E858F8">
        <w:rPr>
          <w:sz w:val="28"/>
          <w:szCs w:val="28"/>
        </w:rPr>
        <w:t xml:space="preserve"> loma, kam ir atļauts būt pasīvām, jo nav strikti noteikts, ka pēc divu mēnešu pa</w:t>
      </w:r>
      <w:r>
        <w:rPr>
          <w:sz w:val="28"/>
          <w:szCs w:val="28"/>
        </w:rPr>
        <w:t>iešanas procesa virzītājam</w:t>
      </w:r>
      <w:r w:rsidRPr="00E858F8">
        <w:rPr>
          <w:sz w:val="28"/>
          <w:szCs w:val="28"/>
        </w:rPr>
        <w:t xml:space="preserve"> būtu pienākums izmeklēšanas tiesnesim  iesniegt pamatotu, argumentētu ar pierādījumiem ierosinājumu pagarināt apcietinājumu. Saskaņā ar KPL 281.p. izmeklēšanas tiesnesim ir pienākums veikt kontroli pār apcietinājumu, taču šinī pantā nav noteikts, ka tiesnesim būtu tiesības  lūgt procesa virzītājam noteiktā laikā iesniegt jaunus pierādījumus, darīt zināmus jaunus faktus, kas dotu tiesības izmeklēšanas tiesnesim pagarināt apcietinājumu.</w:t>
      </w:r>
      <w:r>
        <w:rPr>
          <w:sz w:val="28"/>
          <w:szCs w:val="28"/>
        </w:rPr>
        <w:t xml:space="preserve"> Lai arī KPL 41.p.4.d.2.punktā, kur minētas </w:t>
      </w:r>
      <w:bookmarkStart w:id="4" w:name="OLE_LINK5"/>
      <w:bookmarkStart w:id="5" w:name="OLE_LINK6"/>
      <w:r>
        <w:rPr>
          <w:sz w:val="28"/>
          <w:szCs w:val="28"/>
        </w:rPr>
        <w:t xml:space="preserve">izmeklēšanas tiesneša </w:t>
      </w:r>
      <w:bookmarkEnd w:id="4"/>
      <w:bookmarkEnd w:id="5"/>
      <w:r>
        <w:rPr>
          <w:sz w:val="28"/>
          <w:szCs w:val="28"/>
        </w:rPr>
        <w:t>tiesības, šī panta 2.punktā ir noteikts, ka izmeklēšanas tiesnesim ir tiesības pieprasīt no procesa virzītāja papildu informāciju un noteikt termiņus kriminālprocesā, kurā ir piemērots ar brīvības atņemšanu saistīts drošības līdzeklis.</w:t>
      </w:r>
      <w:r w:rsidRPr="00E92157">
        <w:rPr>
          <w:sz w:val="28"/>
          <w:szCs w:val="28"/>
        </w:rPr>
        <w:t xml:space="preserve"> </w:t>
      </w:r>
      <w:r>
        <w:rPr>
          <w:sz w:val="28"/>
          <w:szCs w:val="28"/>
        </w:rPr>
        <w:t xml:space="preserve">Autors uzskata, ka šī norma ir vispārēja un formāla, jo nav nekur strikti noteikts, ka tiesai būtu tiesības pieprasīt no procesa virzītāja </w:t>
      </w:r>
      <w:r>
        <w:rPr>
          <w:sz w:val="28"/>
          <w:szCs w:val="28"/>
        </w:rPr>
        <w:lastRenderedPageBreak/>
        <w:t>pieteikumu, kurā tiktu atspoguļoti konkrēti pierādījumi, kas norādītu uz to, ka ir pamats pagarināt apcietinājumu.  Praksē šī norma tiek piemērota tādā veidā, ka pirms tiesas sēdes procesa virzītājs iesniedz izmeklēšanas tiesnesim kriminālprocesa materiālus.</w:t>
      </w:r>
    </w:p>
    <w:p w:rsidR="007A0BB2" w:rsidRDefault="007A0BB2" w:rsidP="007A0BB2">
      <w:pPr>
        <w:ind w:firstLine="720"/>
        <w:jc w:val="both"/>
        <w:rPr>
          <w:b/>
          <w:sz w:val="28"/>
          <w:szCs w:val="28"/>
        </w:rPr>
      </w:pPr>
      <w:r>
        <w:rPr>
          <w:sz w:val="28"/>
          <w:szCs w:val="28"/>
        </w:rPr>
        <w:t>Tiesiskās problēmas aktualitāti pastiprina arī sekojošs piemērs no tiesu prakses, kur izmeklēšanas tiesnesis ir vērtējis procesa virzītāja rīcību tiesas sēdē, kur ir skatīts jautājums par drošības līdzekļa -</w:t>
      </w:r>
      <w:r w:rsidRPr="008234AC">
        <w:rPr>
          <w:sz w:val="28"/>
          <w:szCs w:val="28"/>
        </w:rPr>
        <w:t xml:space="preserve"> </w:t>
      </w:r>
      <w:r>
        <w:rPr>
          <w:sz w:val="28"/>
          <w:szCs w:val="28"/>
        </w:rPr>
        <w:t>apcietinājums</w:t>
      </w:r>
      <w:r>
        <w:rPr>
          <w:b/>
          <w:sz w:val="28"/>
          <w:szCs w:val="28"/>
        </w:rPr>
        <w:t xml:space="preserve"> </w:t>
      </w:r>
      <w:r>
        <w:rPr>
          <w:sz w:val="28"/>
          <w:szCs w:val="28"/>
        </w:rPr>
        <w:t>turpmākās nepieciešamības izvērtēšanu.</w:t>
      </w:r>
    </w:p>
    <w:p w:rsidR="007A0BB2" w:rsidRPr="00C931A6" w:rsidRDefault="007A0BB2" w:rsidP="007A0BB2">
      <w:pPr>
        <w:ind w:firstLine="720"/>
        <w:jc w:val="both"/>
        <w:rPr>
          <w:b/>
          <w:sz w:val="28"/>
          <w:szCs w:val="28"/>
        </w:rPr>
      </w:pPr>
      <w:r>
        <w:rPr>
          <w:sz w:val="28"/>
          <w:szCs w:val="28"/>
        </w:rPr>
        <w:t>Kurzemes apgabaltiesa  secina</w:t>
      </w:r>
      <w:r w:rsidRPr="001B2197">
        <w:rPr>
          <w:sz w:val="28"/>
          <w:szCs w:val="28"/>
        </w:rPr>
        <w:t>, ka ‘’ECT ir atzinusi, ka procesa virzītājam ir pienākums sniegt pamatojumu ilglaicīgai personas turēšanai nebrīvē un noteikusi, ka apcietinājuma ilguma raksturs nav pakļauts abstraktam novērtējumam un, ka attaisnojums apsūdzētā turēšanai apcietinājumā ir izvērtējams katrā lietā, ņemot vērā īpašos apstākļus. Ilglaicīga personas turēšana apcietinājumā ir attaisnojuma tikai gadījumos, ja ir tiešas norādes, ka tas patiesi ir sabiedrības interesēs, kas ņemot vērā nevainīguma prezumpciju, ir</w:t>
      </w:r>
      <w:r>
        <w:rPr>
          <w:sz w:val="28"/>
          <w:szCs w:val="28"/>
        </w:rPr>
        <w:t xml:space="preserve"> svarīgākas par Konvencijas 5.panta</w:t>
      </w:r>
      <w:r w:rsidRPr="001B2197">
        <w:rPr>
          <w:sz w:val="28"/>
          <w:szCs w:val="28"/>
        </w:rPr>
        <w:t xml:space="preserve"> garantētajām personas tiesībām un brīvību.’’</w:t>
      </w:r>
      <w:r>
        <w:rPr>
          <w:sz w:val="28"/>
          <w:szCs w:val="28"/>
        </w:rPr>
        <w:t xml:space="preserve"> Tiesa</w:t>
      </w:r>
      <w:r w:rsidRPr="001B2197">
        <w:rPr>
          <w:sz w:val="28"/>
          <w:szCs w:val="28"/>
        </w:rPr>
        <w:t xml:space="preserve"> </w:t>
      </w:r>
      <w:r>
        <w:rPr>
          <w:sz w:val="28"/>
          <w:szCs w:val="28"/>
        </w:rPr>
        <w:t>arī atzina</w:t>
      </w:r>
      <w:r w:rsidRPr="001B2197">
        <w:rPr>
          <w:sz w:val="28"/>
          <w:szCs w:val="28"/>
        </w:rPr>
        <w:t xml:space="preserve">, ‘’ja sākumā  šis konstatētais apstāklis bija pietiekošs apsūdzētā A. turēšanai apcietinājumā, pēc kāda laika </w:t>
      </w:r>
      <w:r>
        <w:rPr>
          <w:sz w:val="28"/>
          <w:szCs w:val="28"/>
        </w:rPr>
        <w:t>tas vairs nav pietiekams un apsūdzētā</w:t>
      </w:r>
      <w:r w:rsidRPr="001B2197">
        <w:rPr>
          <w:sz w:val="28"/>
          <w:szCs w:val="28"/>
        </w:rPr>
        <w:t xml:space="preserve"> atrašanās nebrīvē kopš 13.03.2007. vairāk nav attaisnojama. ECT ir atzinusi, ka pamatotu šaubu pastāvēšana, ka persona, kas apcietināta ir izdarījusi noziedzīgu nodarījumu un ir nosacījums personas turēšana apcietinājumā likumībai, pēc kāda laika tas nav pietiekami, lai attaisnotu personas turēšanu nebrīvē.’’</w:t>
      </w:r>
      <w:r w:rsidRPr="0032206C">
        <w:rPr>
          <w:rStyle w:val="FootnoteReference"/>
          <w:sz w:val="28"/>
          <w:szCs w:val="28"/>
        </w:rPr>
        <w:t xml:space="preserve"> </w:t>
      </w:r>
      <w:r>
        <w:rPr>
          <w:rStyle w:val="FootnoteReference"/>
          <w:sz w:val="28"/>
          <w:szCs w:val="28"/>
        </w:rPr>
        <w:footnoteReference w:id="39"/>
      </w:r>
    </w:p>
    <w:p w:rsidR="007A0BB2" w:rsidRDefault="007A0BB2" w:rsidP="007A0BB2">
      <w:pPr>
        <w:tabs>
          <w:tab w:val="left" w:pos="426"/>
        </w:tabs>
        <w:jc w:val="both"/>
        <w:rPr>
          <w:sz w:val="28"/>
          <w:szCs w:val="28"/>
        </w:rPr>
      </w:pPr>
      <w:r>
        <w:rPr>
          <w:sz w:val="28"/>
          <w:szCs w:val="28"/>
        </w:rPr>
        <w:tab/>
      </w:r>
      <w:r>
        <w:rPr>
          <w:bCs/>
          <w:color w:val="000000"/>
          <w:sz w:val="28"/>
          <w:szCs w:val="28"/>
        </w:rPr>
        <w:t xml:space="preserve">Saskaņā ar </w:t>
      </w:r>
      <w:r w:rsidRPr="00B65E5E">
        <w:rPr>
          <w:bCs/>
          <w:color w:val="000000"/>
          <w:sz w:val="28"/>
          <w:szCs w:val="28"/>
        </w:rPr>
        <w:t>Igaunijas KPK</w:t>
      </w:r>
      <w:r>
        <w:rPr>
          <w:bCs/>
          <w:color w:val="000000"/>
          <w:sz w:val="28"/>
          <w:szCs w:val="28"/>
        </w:rPr>
        <w:t xml:space="preserve"> </w:t>
      </w:r>
      <w:r>
        <w:rPr>
          <w:sz w:val="28"/>
          <w:szCs w:val="28"/>
        </w:rPr>
        <w:t>130. pantu, a</w:t>
      </w:r>
      <w:r w:rsidRPr="00E858F8">
        <w:rPr>
          <w:sz w:val="28"/>
          <w:szCs w:val="28"/>
        </w:rPr>
        <w:t>pcietinājums</w:t>
      </w:r>
      <w:r>
        <w:rPr>
          <w:sz w:val="28"/>
          <w:szCs w:val="28"/>
        </w:rPr>
        <w:t xml:space="preserve"> tiek definēts, kā </w:t>
      </w:r>
      <w:r w:rsidRPr="00E858F8">
        <w:rPr>
          <w:sz w:val="28"/>
          <w:szCs w:val="28"/>
        </w:rPr>
        <w:t xml:space="preserve">brīvības atņemšana personai, ko piemēro kā drošības līdzekli aizdomās turētajam, apsūdzētajam vai notiesātajam, pamatojoties uz tiesas lēmumu. Aizdomās turēto vai apsūdzēto var apcietināt, pamatojoties uz prokuratūras iesniegumu un pirmstiesas izmeklēšanas tiesneša vai tiesas lēmumu, ja aizdomās turētais vai apsūdzētais var izvairīties no piedalīšanās kriminālprocesā vai turpināt noziegumu izdarīšanu.  </w:t>
      </w:r>
    </w:p>
    <w:p w:rsidR="007A0BB2" w:rsidRPr="00DF2BCF" w:rsidRDefault="007A0BB2" w:rsidP="007A0BB2">
      <w:pPr>
        <w:tabs>
          <w:tab w:val="left" w:pos="426"/>
        </w:tabs>
        <w:jc w:val="both"/>
        <w:rPr>
          <w:sz w:val="28"/>
          <w:szCs w:val="28"/>
        </w:rPr>
      </w:pPr>
      <w:r>
        <w:rPr>
          <w:sz w:val="28"/>
          <w:szCs w:val="28"/>
        </w:rPr>
        <w:tab/>
        <w:t xml:space="preserve">Igaunijas KPK 131. pantā ir atrunāta </w:t>
      </w:r>
      <w:r w:rsidRPr="00E555CB">
        <w:rPr>
          <w:sz w:val="28"/>
          <w:szCs w:val="28"/>
        </w:rPr>
        <w:t>apcietināšanas kārtība,</w:t>
      </w:r>
      <w:r>
        <w:rPr>
          <w:sz w:val="28"/>
          <w:szCs w:val="28"/>
        </w:rPr>
        <w:t xml:space="preserve"> kura paredz sekojošo:</w:t>
      </w:r>
    </w:p>
    <w:p w:rsidR="007A0BB2" w:rsidRPr="00E858F8" w:rsidRDefault="007A0BB2" w:rsidP="007A0BB2">
      <w:pPr>
        <w:tabs>
          <w:tab w:val="left" w:pos="426"/>
        </w:tabs>
        <w:jc w:val="both"/>
        <w:rPr>
          <w:sz w:val="28"/>
          <w:szCs w:val="28"/>
        </w:rPr>
      </w:pPr>
      <w:r>
        <w:rPr>
          <w:sz w:val="28"/>
          <w:szCs w:val="28"/>
        </w:rPr>
        <w:t xml:space="preserve">1. </w:t>
      </w:r>
      <w:r w:rsidRPr="00E858F8">
        <w:rPr>
          <w:sz w:val="28"/>
          <w:szCs w:val="28"/>
        </w:rPr>
        <w:t xml:space="preserve">Prokuratūra pēc aizdomās turētā vai apsūdzētā vēlēšanās nekavējoties paziņo aizstāvim par iesnieguma sagatavošanu apcietinājuma piemērošanai.   </w:t>
      </w:r>
    </w:p>
    <w:p w:rsidR="007A0BB2" w:rsidRPr="00E858F8" w:rsidRDefault="007A0BB2" w:rsidP="007A0BB2">
      <w:pPr>
        <w:tabs>
          <w:tab w:val="left" w:pos="426"/>
        </w:tabs>
        <w:jc w:val="both"/>
        <w:rPr>
          <w:sz w:val="28"/>
          <w:szCs w:val="28"/>
        </w:rPr>
      </w:pPr>
      <w:r>
        <w:rPr>
          <w:sz w:val="28"/>
          <w:szCs w:val="28"/>
        </w:rPr>
        <w:t xml:space="preserve">2. </w:t>
      </w:r>
      <w:r w:rsidRPr="00E858F8">
        <w:rPr>
          <w:sz w:val="28"/>
          <w:szCs w:val="28"/>
        </w:rPr>
        <w:t>Aizdomās turēto vai apsūdzēto, kuram sagatavots lūgums par apcietinājuma piemērošanu, izmeklēšanas amatpersonas pēc prokuratūras rīkojuma nogādā pie pirmstiesas izmeklēšanas tiesneša, lai izskatītu iesniegumu par apcietinājuma piemērošanu.</w:t>
      </w:r>
    </w:p>
    <w:p w:rsidR="007A0BB2" w:rsidRPr="00E858F8" w:rsidRDefault="007A0BB2" w:rsidP="007A0BB2">
      <w:pPr>
        <w:tabs>
          <w:tab w:val="left" w:pos="426"/>
        </w:tabs>
        <w:jc w:val="both"/>
        <w:rPr>
          <w:sz w:val="28"/>
          <w:szCs w:val="28"/>
        </w:rPr>
      </w:pPr>
      <w:r>
        <w:rPr>
          <w:sz w:val="28"/>
          <w:szCs w:val="28"/>
        </w:rPr>
        <w:lastRenderedPageBreak/>
        <w:t xml:space="preserve">3. </w:t>
      </w:r>
      <w:r w:rsidRPr="00E858F8">
        <w:rPr>
          <w:sz w:val="28"/>
          <w:szCs w:val="28"/>
        </w:rPr>
        <w:t xml:space="preserve">Līdz lēmuma pieņemšanai par apcietinājuma piemērošanu pirmstiesas izmeklēšanas tiesnesis iepazīstas ar krimināllietas materiāliem un iztaujā apcietināmo personu, lai noskaidrotu lūguma par apcietinājuma piemērošanu pamatotību. Pie pirmstiesas izmeklēšanas tiesneša tiek uzaicināts prokurors, pēc apcietināmās personas lūguma arī aizstāvis, un tiesnesis iepazīstas ar viņu viedokli. </w:t>
      </w:r>
    </w:p>
    <w:p w:rsidR="007A0BB2" w:rsidRPr="00E858F8" w:rsidRDefault="007A0BB2" w:rsidP="007A0BB2">
      <w:pPr>
        <w:tabs>
          <w:tab w:val="left" w:pos="426"/>
        </w:tabs>
        <w:jc w:val="both"/>
        <w:rPr>
          <w:sz w:val="28"/>
          <w:szCs w:val="28"/>
        </w:rPr>
      </w:pPr>
      <w:r>
        <w:rPr>
          <w:sz w:val="28"/>
          <w:szCs w:val="28"/>
        </w:rPr>
        <w:tab/>
      </w:r>
      <w:r w:rsidRPr="00E858F8">
        <w:rPr>
          <w:sz w:val="28"/>
          <w:szCs w:val="28"/>
        </w:rPr>
        <w:t xml:space="preserve">Lēmumā </w:t>
      </w:r>
      <w:r>
        <w:rPr>
          <w:sz w:val="28"/>
          <w:szCs w:val="28"/>
        </w:rPr>
        <w:t xml:space="preserve">par apcietinājuma piemērošanu kā to paredz Igaunijas KPK 132. pants, </w:t>
      </w:r>
      <w:r w:rsidRPr="00E858F8">
        <w:rPr>
          <w:sz w:val="28"/>
          <w:szCs w:val="28"/>
        </w:rPr>
        <w:t>norāda:</w:t>
      </w:r>
      <w:r>
        <w:rPr>
          <w:sz w:val="28"/>
          <w:szCs w:val="28"/>
        </w:rPr>
        <w:t xml:space="preserve"> </w:t>
      </w:r>
    </w:p>
    <w:p w:rsidR="007A0BB2" w:rsidRPr="00E858F8" w:rsidRDefault="007A0BB2" w:rsidP="007A0BB2">
      <w:pPr>
        <w:tabs>
          <w:tab w:val="left" w:pos="426"/>
        </w:tabs>
        <w:jc w:val="both"/>
        <w:rPr>
          <w:sz w:val="28"/>
          <w:szCs w:val="28"/>
        </w:rPr>
      </w:pPr>
      <w:r w:rsidRPr="00E858F8">
        <w:rPr>
          <w:sz w:val="28"/>
          <w:szCs w:val="28"/>
        </w:rPr>
        <w:t>1)</w:t>
      </w:r>
      <w:r w:rsidRPr="00E858F8">
        <w:rPr>
          <w:sz w:val="28"/>
          <w:szCs w:val="28"/>
        </w:rPr>
        <w:tab/>
        <w:t>apcietināmās personas vārds, uzvārds un dzīvesvieta;</w:t>
      </w:r>
    </w:p>
    <w:p w:rsidR="007A0BB2" w:rsidRPr="00E858F8" w:rsidRDefault="007A0BB2" w:rsidP="007A0BB2">
      <w:pPr>
        <w:tabs>
          <w:tab w:val="left" w:pos="426"/>
        </w:tabs>
        <w:jc w:val="both"/>
        <w:rPr>
          <w:sz w:val="28"/>
          <w:szCs w:val="28"/>
        </w:rPr>
      </w:pPr>
      <w:r w:rsidRPr="00E858F8">
        <w:rPr>
          <w:sz w:val="28"/>
          <w:szCs w:val="28"/>
        </w:rPr>
        <w:t>2)</w:t>
      </w:r>
      <w:r w:rsidRPr="00E858F8">
        <w:rPr>
          <w:sz w:val="28"/>
          <w:szCs w:val="28"/>
        </w:rPr>
        <w:tab/>
        <w:t xml:space="preserve">nozieguma apstākļi, kuru izdarīšanā persona tiek turēta aizdomās vai </w:t>
      </w:r>
      <w:r w:rsidRPr="00E858F8">
        <w:rPr>
          <w:sz w:val="28"/>
          <w:szCs w:val="28"/>
        </w:rPr>
        <w:tab/>
        <w:t>apsūdzēta, un nodarījuma kvalifikācija;</w:t>
      </w:r>
    </w:p>
    <w:p w:rsidR="007A0BB2" w:rsidRPr="00E858F8" w:rsidRDefault="007A0BB2" w:rsidP="007A0BB2">
      <w:pPr>
        <w:tabs>
          <w:tab w:val="left" w:pos="426"/>
        </w:tabs>
        <w:jc w:val="both"/>
        <w:rPr>
          <w:sz w:val="28"/>
          <w:szCs w:val="28"/>
        </w:rPr>
      </w:pPr>
      <w:r w:rsidRPr="00E858F8">
        <w:rPr>
          <w:sz w:val="28"/>
          <w:szCs w:val="28"/>
        </w:rPr>
        <w:t>3)</w:t>
      </w:r>
      <w:r w:rsidRPr="00E858F8">
        <w:rPr>
          <w:sz w:val="28"/>
          <w:szCs w:val="28"/>
        </w:rPr>
        <w:tab/>
        <w:t>apcietināšanas pamats</w:t>
      </w:r>
    </w:p>
    <w:p w:rsidR="007A0BB2" w:rsidRPr="00E858F8" w:rsidRDefault="007A0BB2" w:rsidP="007A0BB2">
      <w:pPr>
        <w:tabs>
          <w:tab w:val="left" w:pos="426"/>
        </w:tabs>
        <w:jc w:val="both"/>
        <w:rPr>
          <w:sz w:val="28"/>
          <w:szCs w:val="28"/>
        </w:rPr>
      </w:pPr>
      <w:r w:rsidRPr="00E858F8">
        <w:rPr>
          <w:sz w:val="28"/>
          <w:szCs w:val="28"/>
        </w:rPr>
        <w:t>4)</w:t>
      </w:r>
      <w:r w:rsidRPr="00E858F8">
        <w:rPr>
          <w:sz w:val="28"/>
          <w:szCs w:val="28"/>
        </w:rPr>
        <w:tab/>
        <w:t>apcietināšanas pamatojums.</w:t>
      </w:r>
    </w:p>
    <w:p w:rsidR="007A0BB2" w:rsidRPr="00E858F8" w:rsidRDefault="007A0BB2" w:rsidP="007A0BB2">
      <w:pPr>
        <w:tabs>
          <w:tab w:val="left" w:pos="426"/>
        </w:tabs>
        <w:jc w:val="both"/>
        <w:rPr>
          <w:sz w:val="28"/>
          <w:szCs w:val="28"/>
        </w:rPr>
      </w:pPr>
      <w:r>
        <w:rPr>
          <w:sz w:val="28"/>
          <w:szCs w:val="28"/>
        </w:rPr>
        <w:tab/>
      </w:r>
      <w:r w:rsidRPr="00E858F8">
        <w:rPr>
          <w:sz w:val="28"/>
          <w:szCs w:val="28"/>
        </w:rPr>
        <w:t xml:space="preserve">Izanalizējot Igaunijas KPK autors vēlas norādīt, ka saskaņā ar 127.p.1.d. drošības līdzekļa izvēlē ņem vērā </w:t>
      </w:r>
      <w:r w:rsidRPr="00F74AAF">
        <w:rPr>
          <w:sz w:val="28"/>
          <w:szCs w:val="28"/>
        </w:rPr>
        <w:t>iespējamo i</w:t>
      </w:r>
      <w:r w:rsidRPr="00E858F8">
        <w:rPr>
          <w:sz w:val="28"/>
          <w:szCs w:val="28"/>
        </w:rPr>
        <w:t>zvairīšanos no tiesvedības krimināllietā, nozieguma izdarīšanas vai pierādījumu iznīcināšanas u.t.t., Personība, veselības un ģimenes stāvoklis un citi būtiski apstākļi var ietekmēt drošības līdzekļa piemērošanu. Die</w:t>
      </w:r>
      <w:r>
        <w:rPr>
          <w:sz w:val="28"/>
          <w:szCs w:val="28"/>
        </w:rPr>
        <w:t>mžēl Igaunijas KPK nav atrunāts</w:t>
      </w:r>
      <w:r w:rsidRPr="00E858F8">
        <w:rPr>
          <w:sz w:val="28"/>
          <w:szCs w:val="28"/>
        </w:rPr>
        <w:t xml:space="preserve">, kas jāsaprot ar ‘’citiem būtiskiem apstākļiem’’. Norma ko varētu aizgūt </w:t>
      </w:r>
      <w:r>
        <w:rPr>
          <w:sz w:val="28"/>
          <w:szCs w:val="28"/>
        </w:rPr>
        <w:t xml:space="preserve">no Igaunijas KPK </w:t>
      </w:r>
      <w:r w:rsidRPr="00E858F8">
        <w:rPr>
          <w:sz w:val="28"/>
          <w:szCs w:val="28"/>
        </w:rPr>
        <w:t>ir 131.p.1.</w:t>
      </w:r>
      <w:r>
        <w:rPr>
          <w:sz w:val="28"/>
          <w:szCs w:val="28"/>
        </w:rPr>
        <w:t>d., kurā minēts, ka procesa virzītājs</w:t>
      </w:r>
      <w:r w:rsidRPr="00E858F8">
        <w:rPr>
          <w:sz w:val="28"/>
          <w:szCs w:val="28"/>
        </w:rPr>
        <w:t xml:space="preserve"> pēc aizdomās turētā vai apsūdzētā vēlēšanās </w:t>
      </w:r>
      <w:r w:rsidRPr="009A1A26">
        <w:rPr>
          <w:sz w:val="28"/>
          <w:szCs w:val="28"/>
        </w:rPr>
        <w:t>nekavējoties</w:t>
      </w:r>
      <w:r w:rsidRPr="00E858F8">
        <w:rPr>
          <w:sz w:val="28"/>
          <w:szCs w:val="28"/>
        </w:rPr>
        <w:t xml:space="preserve"> paziņo aizstāvim par iesnieguma sagatavoša</w:t>
      </w:r>
      <w:r>
        <w:rPr>
          <w:sz w:val="28"/>
          <w:szCs w:val="28"/>
        </w:rPr>
        <w:t>nu apcietinājuma piemērošanai.</w:t>
      </w:r>
      <w:r w:rsidRPr="00E858F8">
        <w:rPr>
          <w:sz w:val="28"/>
          <w:szCs w:val="28"/>
        </w:rPr>
        <w:t xml:space="preserve"> </w:t>
      </w:r>
      <w:r>
        <w:rPr>
          <w:sz w:val="28"/>
          <w:szCs w:val="28"/>
        </w:rPr>
        <w:t xml:space="preserve">Vārdnīcā vārds </w:t>
      </w:r>
      <w:r w:rsidRPr="002F7396">
        <w:rPr>
          <w:sz w:val="28"/>
          <w:szCs w:val="28"/>
        </w:rPr>
        <w:t>‘’nekavējoties’’</w:t>
      </w:r>
      <w:r>
        <w:rPr>
          <w:sz w:val="28"/>
          <w:szCs w:val="28"/>
        </w:rPr>
        <w:t xml:space="preserve"> nozīmē –</w:t>
      </w:r>
      <w:r w:rsidRPr="00E858F8">
        <w:rPr>
          <w:sz w:val="28"/>
          <w:szCs w:val="28"/>
        </w:rPr>
        <w:t xml:space="preserve"> </w:t>
      </w:r>
      <w:r>
        <w:rPr>
          <w:sz w:val="28"/>
          <w:szCs w:val="28"/>
        </w:rPr>
        <w:t xml:space="preserve">Tūlīt, bez kavēšanās. </w:t>
      </w:r>
      <w:r>
        <w:rPr>
          <w:rStyle w:val="FootnoteReference"/>
          <w:sz w:val="28"/>
          <w:szCs w:val="28"/>
        </w:rPr>
        <w:footnoteReference w:id="40"/>
      </w:r>
      <w:r>
        <w:rPr>
          <w:sz w:val="28"/>
          <w:szCs w:val="28"/>
        </w:rPr>
        <w:t xml:space="preserve"> </w:t>
      </w:r>
      <w:r w:rsidRPr="00E858F8">
        <w:rPr>
          <w:sz w:val="28"/>
          <w:szCs w:val="28"/>
        </w:rPr>
        <w:t>Latvijā tiesu pra</w:t>
      </w:r>
      <w:r>
        <w:rPr>
          <w:sz w:val="28"/>
          <w:szCs w:val="28"/>
        </w:rPr>
        <w:t>ksē,  procesa virzītājs aizdomās turētajai personai vai apsūdzētajam</w:t>
      </w:r>
      <w:r w:rsidRPr="00E858F8">
        <w:rPr>
          <w:sz w:val="28"/>
          <w:szCs w:val="28"/>
        </w:rPr>
        <w:t xml:space="preserve"> un aizstāvim paziņo par apcietinājuma ierosinājumu pēdējā brīdi, tā pārkāpjot tiesības uz aizstāvību, jo nav laika ne pieprasīt</w:t>
      </w:r>
      <w:r>
        <w:rPr>
          <w:sz w:val="28"/>
          <w:szCs w:val="28"/>
        </w:rPr>
        <w:t xml:space="preserve"> raksturojošos datus par personu</w:t>
      </w:r>
      <w:r w:rsidRPr="00E858F8">
        <w:rPr>
          <w:sz w:val="28"/>
          <w:szCs w:val="28"/>
        </w:rPr>
        <w:t xml:space="preserve"> –raksturojumi, atsauksmes, izziņa par veselības stāvokli, vai ir precējies un vai ap</w:t>
      </w:r>
      <w:r>
        <w:rPr>
          <w:sz w:val="28"/>
          <w:szCs w:val="28"/>
        </w:rPr>
        <w:t>gādībā ir mazgadīgi bērni, galvojumus no fiziskām vai juridiskām personām par gatavību iemaksāt tiesas noteikto drošības naudu</w:t>
      </w:r>
      <w:r w:rsidRPr="00E858F8">
        <w:rPr>
          <w:sz w:val="28"/>
          <w:szCs w:val="28"/>
        </w:rPr>
        <w:t xml:space="preserve">, ne </w:t>
      </w:r>
      <w:r>
        <w:rPr>
          <w:sz w:val="28"/>
          <w:szCs w:val="28"/>
        </w:rPr>
        <w:t xml:space="preserve">arī </w:t>
      </w:r>
      <w:r w:rsidRPr="00E858F8">
        <w:rPr>
          <w:sz w:val="28"/>
          <w:szCs w:val="28"/>
        </w:rPr>
        <w:t xml:space="preserve">savākt pierādījumus, kas  apgāztu procesa virzītāja pieņēmumus, ierosinājums tiek atreferēts tikai tiesas sēdes laikā, </w:t>
      </w:r>
      <w:r>
        <w:rPr>
          <w:sz w:val="28"/>
          <w:szCs w:val="28"/>
        </w:rPr>
        <w:t>tā liedzot aizstāvim un aizdomās turētajai personai vai apsūdzētajam</w:t>
      </w:r>
      <w:r w:rsidRPr="00E858F8">
        <w:rPr>
          <w:sz w:val="28"/>
          <w:szCs w:val="28"/>
        </w:rPr>
        <w:t xml:space="preserve"> sagatavot savus argumentus, kas būtu balstīti uz fak</w:t>
      </w:r>
      <w:r>
        <w:rPr>
          <w:sz w:val="28"/>
          <w:szCs w:val="28"/>
        </w:rPr>
        <w:t>tiem, ko tiesa varētu pārbaudīt. B</w:t>
      </w:r>
      <w:r w:rsidRPr="00E858F8">
        <w:rPr>
          <w:sz w:val="28"/>
          <w:szCs w:val="28"/>
        </w:rPr>
        <w:t>ez tam, aizstāvība nav nodrošināta ar iespēju iesniegt procesa virzītājam pieteikumu par procesuālo dokume</w:t>
      </w:r>
      <w:r>
        <w:rPr>
          <w:sz w:val="28"/>
          <w:szCs w:val="28"/>
        </w:rPr>
        <w:t>ntu uzrādīšanu, kas ir pievienoti</w:t>
      </w:r>
      <w:r w:rsidRPr="00E858F8">
        <w:rPr>
          <w:sz w:val="28"/>
          <w:szCs w:val="28"/>
        </w:rPr>
        <w:t xml:space="preserve"> pie ierosinājuma, kas pamato apcietinājuma piemērošanas nepieciešamību.</w:t>
      </w:r>
    </w:p>
    <w:p w:rsidR="007A0BB2" w:rsidRPr="00E858F8" w:rsidRDefault="007A0BB2" w:rsidP="007A0BB2">
      <w:pPr>
        <w:ind w:firstLine="720"/>
        <w:jc w:val="both"/>
        <w:rPr>
          <w:sz w:val="28"/>
          <w:szCs w:val="28"/>
        </w:rPr>
      </w:pPr>
      <w:r w:rsidRPr="00E858F8">
        <w:rPr>
          <w:sz w:val="28"/>
          <w:szCs w:val="28"/>
        </w:rPr>
        <w:t>Autors vērš uzmanību uz sekojošām KF KPK</w:t>
      </w:r>
      <w:r>
        <w:rPr>
          <w:sz w:val="28"/>
          <w:szCs w:val="28"/>
        </w:rPr>
        <w:t xml:space="preserve"> </w:t>
      </w:r>
      <w:r w:rsidRPr="00E858F8">
        <w:rPr>
          <w:sz w:val="28"/>
          <w:szCs w:val="28"/>
        </w:rPr>
        <w:t>no</w:t>
      </w:r>
      <w:r>
        <w:rPr>
          <w:sz w:val="28"/>
          <w:szCs w:val="28"/>
        </w:rPr>
        <w:t>rmām, kuras būtu nepieciešams</w:t>
      </w:r>
      <w:r w:rsidRPr="00E858F8">
        <w:rPr>
          <w:sz w:val="28"/>
          <w:szCs w:val="28"/>
        </w:rPr>
        <w:t xml:space="preserve"> pārņemt Latvijas KPL, jo tajās ir atspoguļotas atziņas, kas aizsargā aizdomās turētās un apsūdzētās personas cilvēktiesības, tiesības uz aizstāvību, ir ievērots sacīkstes princips kriminālprocesā. Komentārus </w:t>
      </w:r>
      <w:r w:rsidRPr="00E858F8">
        <w:rPr>
          <w:sz w:val="28"/>
          <w:szCs w:val="28"/>
        </w:rPr>
        <w:lastRenderedPageBreak/>
        <w:t xml:space="preserve">par normu iztulkošanu un piemērošanu ir snieguši </w:t>
      </w:r>
      <w:r>
        <w:rPr>
          <w:sz w:val="28"/>
          <w:szCs w:val="28"/>
        </w:rPr>
        <w:t>Krievijas Federācijas</w:t>
      </w:r>
      <w:r w:rsidRPr="00E858F8">
        <w:rPr>
          <w:sz w:val="28"/>
          <w:szCs w:val="28"/>
        </w:rPr>
        <w:t xml:space="preserve"> tiesību zinātniek</w:t>
      </w:r>
      <w:r>
        <w:rPr>
          <w:sz w:val="28"/>
          <w:szCs w:val="28"/>
        </w:rPr>
        <w:t>i un</w:t>
      </w:r>
      <w:r w:rsidRPr="00E858F8">
        <w:rPr>
          <w:sz w:val="28"/>
          <w:szCs w:val="28"/>
        </w:rPr>
        <w:t xml:space="preserve"> juristi, kā piemēram</w:t>
      </w:r>
      <w:r>
        <w:rPr>
          <w:sz w:val="28"/>
          <w:szCs w:val="28"/>
        </w:rPr>
        <w:t>,</w:t>
      </w:r>
      <w:r w:rsidRPr="00E858F8">
        <w:rPr>
          <w:sz w:val="28"/>
          <w:szCs w:val="28"/>
        </w:rPr>
        <w:t xml:space="preserve"> nopelniem bagātais KF jurists, juridisko zinātņu doktors, profesors I.L.Petruhins, juridisko zinātņu doktori, profesori -S.A.Šeifers, J.K.Orlovs, I.B.Mihailovska u.c.</w:t>
      </w:r>
    </w:p>
    <w:p w:rsidR="007A0BB2" w:rsidRDefault="007A0BB2" w:rsidP="007A0BB2">
      <w:pPr>
        <w:ind w:firstLine="720"/>
        <w:jc w:val="both"/>
        <w:rPr>
          <w:sz w:val="28"/>
          <w:szCs w:val="28"/>
        </w:rPr>
      </w:pPr>
      <w:r w:rsidRPr="00E858F8">
        <w:rPr>
          <w:sz w:val="28"/>
          <w:szCs w:val="28"/>
        </w:rPr>
        <w:t xml:space="preserve">Kriminālprocesa tiesvedības  principi ir ietverti KF KPK 2.nodaļā, kur  </w:t>
      </w:r>
      <w:r w:rsidRPr="00BA428C">
        <w:rPr>
          <w:sz w:val="28"/>
          <w:szCs w:val="28"/>
        </w:rPr>
        <w:t>14.p. – nevainīguma prezumpcija,</w:t>
      </w:r>
      <w:r w:rsidRPr="00E858F8">
        <w:rPr>
          <w:sz w:val="28"/>
          <w:szCs w:val="28"/>
        </w:rPr>
        <w:t xml:space="preserve"> 3.d., ir noteikts, ka ‘’notiesājošs spriedums nevar tikt pama</w:t>
      </w:r>
      <w:r>
        <w:rPr>
          <w:sz w:val="28"/>
          <w:szCs w:val="28"/>
        </w:rPr>
        <w:t>tots uz pieņēmumiem.’’</w:t>
      </w:r>
    </w:p>
    <w:p w:rsidR="007A0BB2" w:rsidRPr="00E858F8" w:rsidRDefault="007A0BB2" w:rsidP="007A0BB2">
      <w:pPr>
        <w:ind w:firstLine="720"/>
        <w:jc w:val="both"/>
        <w:rPr>
          <w:sz w:val="28"/>
          <w:szCs w:val="28"/>
        </w:rPr>
      </w:pPr>
      <w:r w:rsidRPr="00E858F8">
        <w:rPr>
          <w:sz w:val="28"/>
          <w:szCs w:val="28"/>
        </w:rPr>
        <w:t>‘’Nevainīguma princips ir noformulēts, saskaņā ar ECTK 6.p.2.d., kur noteikts, ka ‘’ikviens, kas tiek apsūdzēts noziegumā, tiek uzskatīts par nevainīgu, kamēr viņa vaina netiek pierādīta saskaņā ar likumu.’’ Pēc analoģijas metodes ir jāsecina, ka tas būtu piemērojams arī uz citiem gadījumiem, kad tiesa pieņem lēmumu t.i. piemēram, gadījumā, kad tiek lemts piemērot apcietinājumu vai citu piespiedu drošības līdzekli, šie lēmumi nevar tikt pamatoti ar pieņēmumiem. Jebkādas šaubas tiek tulkotas par labu apsūdzētajam.’’</w:t>
      </w:r>
      <w:r w:rsidRPr="00E858F8">
        <w:rPr>
          <w:rStyle w:val="FootnoteReference"/>
          <w:sz w:val="28"/>
          <w:szCs w:val="28"/>
        </w:rPr>
        <w:footnoteReference w:id="41"/>
      </w:r>
      <w:r w:rsidRPr="00E858F8">
        <w:rPr>
          <w:sz w:val="28"/>
          <w:szCs w:val="28"/>
        </w:rPr>
        <w:t xml:space="preserve"> </w:t>
      </w:r>
    </w:p>
    <w:p w:rsidR="007A0BB2" w:rsidRDefault="007A0BB2" w:rsidP="007A0BB2">
      <w:pPr>
        <w:jc w:val="both"/>
        <w:rPr>
          <w:b/>
          <w:bCs/>
          <w:sz w:val="28"/>
          <w:szCs w:val="28"/>
        </w:rPr>
      </w:pPr>
    </w:p>
    <w:p w:rsidR="007A0BB2" w:rsidRPr="00977209" w:rsidRDefault="007A0BB2" w:rsidP="007A0BB2">
      <w:pPr>
        <w:jc w:val="both"/>
        <w:rPr>
          <w:b/>
          <w:bCs/>
          <w:sz w:val="28"/>
          <w:szCs w:val="28"/>
        </w:rPr>
      </w:pPr>
      <w:r>
        <w:rPr>
          <w:b/>
          <w:bCs/>
          <w:sz w:val="28"/>
          <w:szCs w:val="28"/>
        </w:rPr>
        <w:t xml:space="preserve">3.2. </w:t>
      </w:r>
      <w:r w:rsidRPr="00977209">
        <w:rPr>
          <w:b/>
          <w:bCs/>
          <w:sz w:val="28"/>
          <w:szCs w:val="28"/>
        </w:rPr>
        <w:t>Apcietinājuma aizstāšana ar drošības naudu</w:t>
      </w:r>
    </w:p>
    <w:p w:rsidR="007A0BB2" w:rsidRPr="00E858F8" w:rsidRDefault="007A0BB2" w:rsidP="007A0BB2">
      <w:pPr>
        <w:rPr>
          <w:sz w:val="28"/>
          <w:szCs w:val="28"/>
        </w:rPr>
      </w:pPr>
    </w:p>
    <w:p w:rsidR="007A0BB2" w:rsidRPr="00977209" w:rsidRDefault="007A0BB2" w:rsidP="007A0BB2">
      <w:pPr>
        <w:ind w:firstLine="720"/>
        <w:jc w:val="both"/>
        <w:rPr>
          <w:bCs/>
          <w:sz w:val="28"/>
          <w:szCs w:val="28"/>
        </w:rPr>
      </w:pPr>
      <w:r>
        <w:rPr>
          <w:bCs/>
          <w:sz w:val="28"/>
          <w:szCs w:val="28"/>
        </w:rPr>
        <w:t>Latvijas KPL 275.pantā ir noteikts, ‘’</w:t>
      </w:r>
      <w:r>
        <w:rPr>
          <w:sz w:val="28"/>
          <w:szCs w:val="28"/>
        </w:rPr>
        <w:t>j</w:t>
      </w:r>
      <w:r w:rsidRPr="00E858F8">
        <w:rPr>
          <w:sz w:val="28"/>
          <w:szCs w:val="28"/>
        </w:rPr>
        <w:t xml:space="preserve">a izmeklēšanas tiesnesis konstatē, ka ir šā likuma 272.pantā norādītais pamats apcietinājuma piemērošanai, </w:t>
      </w:r>
      <w:r w:rsidRPr="00335573">
        <w:rPr>
          <w:sz w:val="28"/>
          <w:szCs w:val="28"/>
        </w:rPr>
        <w:t>taču pastāv arī apstākļi, kas liecina par iespēju piemērot drošības naudu,</w:t>
      </w:r>
      <w:r w:rsidRPr="00E858F8">
        <w:rPr>
          <w:sz w:val="28"/>
          <w:szCs w:val="28"/>
        </w:rPr>
        <w:t xml:space="preserve"> un ja to lūdz persona, kura īsteno aizstāvību, tiesnesis var noteikt apcietinājuma termiņu uz vienu mēnesi, vienlaikus nosakot, ka apcietinājumu var atcelt, ja persona šajā laikā samaksās tiesneša noteikto drošības naudu.</w:t>
      </w:r>
    </w:p>
    <w:p w:rsidR="007A0BB2" w:rsidRPr="00E858F8" w:rsidRDefault="007A0BB2" w:rsidP="007A0BB2">
      <w:pPr>
        <w:jc w:val="both"/>
        <w:rPr>
          <w:sz w:val="28"/>
          <w:szCs w:val="28"/>
        </w:rPr>
      </w:pPr>
      <w:r w:rsidRPr="00E858F8">
        <w:rPr>
          <w:sz w:val="28"/>
          <w:szCs w:val="28"/>
        </w:rPr>
        <w:t>Ja viena mēneša laikā drošības naudu samaksā un izmeklēšanas tiesnesim iesniedz samaksu apliecinošu dokumentu, tiesnesis pieņem lēmumu par drošības līdzekļa maiņu. Uz šā lēmuma pamata personu nekavējoties atbrīvo no apcietinājuma.</w:t>
      </w:r>
    </w:p>
    <w:p w:rsidR="007A0BB2" w:rsidRDefault="007A0BB2" w:rsidP="007A0BB2">
      <w:pPr>
        <w:ind w:firstLine="720"/>
        <w:jc w:val="both"/>
        <w:rPr>
          <w:sz w:val="28"/>
          <w:szCs w:val="28"/>
        </w:rPr>
      </w:pPr>
      <w:r>
        <w:rPr>
          <w:sz w:val="28"/>
          <w:szCs w:val="28"/>
        </w:rPr>
        <w:t xml:space="preserve">Izanalizējot šo normu ir jāsecina, ka izmeklēšanas tiesnesim ir deleģētas tiesības pie noteiktiem apstākļiem personai aizstāt apcietinājumu ar drošības naudu, taču tas nav izmeklēšanas tiesneša pienākums. Izmeklēšanas tiesnesis motivējot savu lēmumu var arī noraidīt </w:t>
      </w:r>
      <w:r w:rsidRPr="00E858F8">
        <w:rPr>
          <w:sz w:val="28"/>
          <w:szCs w:val="28"/>
        </w:rPr>
        <w:t>persona</w:t>
      </w:r>
      <w:r>
        <w:rPr>
          <w:sz w:val="28"/>
          <w:szCs w:val="28"/>
        </w:rPr>
        <w:t>s</w:t>
      </w:r>
      <w:r w:rsidRPr="00E858F8">
        <w:rPr>
          <w:sz w:val="28"/>
          <w:szCs w:val="28"/>
        </w:rPr>
        <w:t>, kura īsteno aizstāvību</w:t>
      </w:r>
      <w:r>
        <w:rPr>
          <w:sz w:val="28"/>
          <w:szCs w:val="28"/>
        </w:rPr>
        <w:t xml:space="preserve"> pieteikto lūgumu apcietinājumu aizstāt ar drošības naudu.</w:t>
      </w:r>
    </w:p>
    <w:p w:rsidR="007A0BB2" w:rsidRPr="00943C49" w:rsidRDefault="007A0BB2" w:rsidP="007A0BB2">
      <w:pPr>
        <w:ind w:firstLine="720"/>
        <w:jc w:val="both"/>
        <w:rPr>
          <w:sz w:val="28"/>
          <w:szCs w:val="28"/>
        </w:rPr>
      </w:pPr>
      <w:r>
        <w:rPr>
          <w:sz w:val="28"/>
          <w:szCs w:val="28"/>
        </w:rPr>
        <w:t xml:space="preserve">Kā problēmu, kuru autora skatījumā būtu jānovērš, precizējot normu, būtu nepieciešamība </w:t>
      </w:r>
      <w:r w:rsidRPr="00943C49">
        <w:rPr>
          <w:sz w:val="28"/>
          <w:szCs w:val="28"/>
        </w:rPr>
        <w:t xml:space="preserve">uzskaitīt </w:t>
      </w:r>
      <w:r>
        <w:rPr>
          <w:sz w:val="28"/>
          <w:szCs w:val="28"/>
        </w:rPr>
        <w:t>‘’</w:t>
      </w:r>
      <w:r w:rsidRPr="00943C49">
        <w:rPr>
          <w:sz w:val="28"/>
          <w:szCs w:val="28"/>
        </w:rPr>
        <w:t>apstākļus</w:t>
      </w:r>
      <w:r>
        <w:rPr>
          <w:sz w:val="28"/>
          <w:szCs w:val="28"/>
        </w:rPr>
        <w:t>, kas liecinātu</w:t>
      </w:r>
      <w:r w:rsidRPr="00943C49">
        <w:rPr>
          <w:sz w:val="28"/>
          <w:szCs w:val="28"/>
        </w:rPr>
        <w:t xml:space="preserve"> par iespēju </w:t>
      </w:r>
      <w:r>
        <w:rPr>
          <w:sz w:val="28"/>
          <w:szCs w:val="28"/>
        </w:rPr>
        <w:t xml:space="preserve">personai </w:t>
      </w:r>
      <w:r w:rsidRPr="00943C49">
        <w:rPr>
          <w:sz w:val="28"/>
          <w:szCs w:val="28"/>
        </w:rPr>
        <w:t>piemērot drošības naudu</w:t>
      </w:r>
      <w:r>
        <w:rPr>
          <w:sz w:val="28"/>
          <w:szCs w:val="28"/>
        </w:rPr>
        <w:t xml:space="preserve">’’ un noteikt kritērijus, pēc kuriem būtu jāvadās nosakot drošības naudas apmēru. Praksē tas atvieglotu izmeklēšanas tiesnesim  pamatot normas piemērošanu un </w:t>
      </w:r>
      <w:r>
        <w:rPr>
          <w:sz w:val="28"/>
          <w:szCs w:val="28"/>
        </w:rPr>
        <w:lastRenderedPageBreak/>
        <w:t>savukārt pārejām procesā iesaistītām personām būtu skaidri tie kritēriji, kas ir  vērtēti un ņemti vērā.</w:t>
      </w:r>
    </w:p>
    <w:p w:rsidR="007A0BB2" w:rsidRDefault="007A0BB2" w:rsidP="007A0BB2">
      <w:pPr>
        <w:jc w:val="both"/>
        <w:rPr>
          <w:b/>
          <w:sz w:val="28"/>
          <w:szCs w:val="28"/>
        </w:rPr>
      </w:pPr>
      <w:r>
        <w:rPr>
          <w:sz w:val="28"/>
          <w:szCs w:val="28"/>
        </w:rPr>
        <w:t>Izmantojot gramatisko interpretācijas nozīmi autors noskaidros vārda ‘’</w:t>
      </w:r>
      <w:r w:rsidRPr="00B568C2">
        <w:rPr>
          <w:i/>
          <w:sz w:val="28"/>
          <w:szCs w:val="28"/>
        </w:rPr>
        <w:t>a</w:t>
      </w:r>
      <w:r>
        <w:rPr>
          <w:i/>
          <w:sz w:val="28"/>
          <w:szCs w:val="28"/>
        </w:rPr>
        <w:t>pstāklis</w:t>
      </w:r>
      <w:r>
        <w:rPr>
          <w:sz w:val="28"/>
          <w:szCs w:val="28"/>
        </w:rPr>
        <w:t>’’ nozīmi. Tas tiek skaidrots, kā – 1. Parādība, kas pastāv līdzās citai parādībai vai faktam un kam ir noteikts sakars ar to. Savukārt vārds daudzskaitlī ‘’</w:t>
      </w:r>
      <w:r w:rsidRPr="00D17C6C">
        <w:rPr>
          <w:i/>
          <w:sz w:val="28"/>
          <w:szCs w:val="28"/>
        </w:rPr>
        <w:t>Apstākļi</w:t>
      </w:r>
      <w:r>
        <w:rPr>
          <w:i/>
          <w:sz w:val="28"/>
          <w:szCs w:val="28"/>
        </w:rPr>
        <w:t>’’</w:t>
      </w:r>
      <w:r>
        <w:rPr>
          <w:sz w:val="28"/>
          <w:szCs w:val="28"/>
        </w:rPr>
        <w:t>- parādību kopums, nosacījumi, kas ietekmē  (kā) norisi, nosaka (kā) esamību.</w:t>
      </w:r>
      <w:r>
        <w:rPr>
          <w:rStyle w:val="FootnoteReference"/>
          <w:sz w:val="28"/>
          <w:szCs w:val="28"/>
        </w:rPr>
        <w:footnoteReference w:id="42"/>
      </w:r>
      <w:r>
        <w:rPr>
          <w:sz w:val="28"/>
          <w:szCs w:val="28"/>
        </w:rPr>
        <w:t xml:space="preserve"> </w:t>
      </w:r>
    </w:p>
    <w:p w:rsidR="007A0BB2" w:rsidRDefault="007A0BB2" w:rsidP="007A0BB2">
      <w:pPr>
        <w:ind w:firstLine="720"/>
        <w:jc w:val="both"/>
        <w:rPr>
          <w:bCs/>
          <w:sz w:val="28"/>
          <w:szCs w:val="28"/>
        </w:rPr>
      </w:pPr>
      <w:r>
        <w:rPr>
          <w:bCs/>
          <w:sz w:val="28"/>
          <w:szCs w:val="28"/>
        </w:rPr>
        <w:t xml:space="preserve">Noskaidrojot vārda ‘’apstākļi’’ nozīmi, jāsecina, ka izmeklēšanas tiesnesim, kas ir konstatējis apcietināšanas pamatu, būtu pienākums saskatīt tādus nosacījumus, kas dotu pamatu aizstāt apcietinājumu ar drošības naudu. Pētot vienu no tiesu prakses piemēriem, kur izmeklēšanas tiesnesis ir piemērojis KPL 275.p. ir jāsecina, ka </w:t>
      </w:r>
      <w:r w:rsidRPr="00943C49">
        <w:rPr>
          <w:sz w:val="28"/>
          <w:szCs w:val="28"/>
        </w:rPr>
        <w:t>apstākļ</w:t>
      </w:r>
      <w:r>
        <w:rPr>
          <w:sz w:val="28"/>
          <w:szCs w:val="28"/>
        </w:rPr>
        <w:t>i, kas liecinātu</w:t>
      </w:r>
      <w:r w:rsidRPr="00943C49">
        <w:rPr>
          <w:sz w:val="28"/>
          <w:szCs w:val="28"/>
        </w:rPr>
        <w:t xml:space="preserve"> par iespēju </w:t>
      </w:r>
      <w:r>
        <w:rPr>
          <w:sz w:val="28"/>
          <w:szCs w:val="28"/>
        </w:rPr>
        <w:t xml:space="preserve">personai </w:t>
      </w:r>
      <w:r w:rsidRPr="00943C49">
        <w:rPr>
          <w:sz w:val="28"/>
          <w:szCs w:val="28"/>
        </w:rPr>
        <w:t>piemērot drošības naudu</w:t>
      </w:r>
      <w:r>
        <w:rPr>
          <w:sz w:val="28"/>
          <w:szCs w:val="28"/>
        </w:rPr>
        <w:t>,</w:t>
      </w:r>
      <w:r>
        <w:rPr>
          <w:bCs/>
          <w:sz w:val="28"/>
          <w:szCs w:val="28"/>
        </w:rPr>
        <w:t xml:space="preserve"> tiek izprasti kā ‘’personības izvērtēšana- vērtējot kā persona raksturojas, vai tā agrāk nav tiesāta, kāds ir ģimenes stāvoklis un vai apgādībā ir mazgadīgi bērni.’’</w:t>
      </w:r>
      <w:r>
        <w:rPr>
          <w:rStyle w:val="FootnoteReference"/>
          <w:bCs/>
          <w:sz w:val="28"/>
          <w:szCs w:val="28"/>
        </w:rPr>
        <w:footnoteReference w:id="43"/>
      </w:r>
      <w:r>
        <w:rPr>
          <w:bCs/>
          <w:sz w:val="28"/>
          <w:szCs w:val="28"/>
        </w:rPr>
        <w:t xml:space="preserve"> </w:t>
      </w:r>
    </w:p>
    <w:p w:rsidR="007A0BB2" w:rsidRDefault="007A0BB2" w:rsidP="007A0BB2">
      <w:pPr>
        <w:ind w:firstLine="720"/>
        <w:jc w:val="both"/>
        <w:rPr>
          <w:bCs/>
          <w:sz w:val="28"/>
          <w:szCs w:val="28"/>
        </w:rPr>
      </w:pPr>
      <w:r>
        <w:rPr>
          <w:bCs/>
          <w:sz w:val="28"/>
          <w:szCs w:val="28"/>
        </w:rPr>
        <w:t xml:space="preserve">Izanalizējot izmeklēšanas tieneša lēmumu, kas ir ievietots darba </w:t>
      </w:r>
      <w:r w:rsidRPr="00AC6511">
        <w:rPr>
          <w:bCs/>
          <w:i/>
          <w:sz w:val="28"/>
          <w:szCs w:val="28"/>
        </w:rPr>
        <w:t>pielikumā nr.2</w:t>
      </w:r>
      <w:r>
        <w:rPr>
          <w:bCs/>
          <w:sz w:val="28"/>
          <w:szCs w:val="28"/>
        </w:rPr>
        <w:t xml:space="preserve"> ir jāsecina, ka lēmumā izdarītie secinājumi ir savstarpēji pretrunīgi. Ja tiesa ir atdzinusi, ka personība raksturojas pozitīvi un agrāk nav tiesāta, tad kāds ir pamats tiesai bijis šaubīties, ka būdama brīvībā persona varētu veikt darbības, lai traucētu izmeklēšanu, saskaņotu lietā esošo personu liecības vai citādi liekot šķēršļus patiesības noskaidrošanai lietā. Tad pie šiem apstākļiem, tiesai bija pienākums noraidīt ierosinājumu par apcietinājuma piemērošanu kā nepamatotu un nevis piemērot drošības naudu. Autors uzskata, ka personības izvērtēšana nevar būt tas apstāklis, kas dotu izmeklēšanas tiesnesim iemeslu apcietinājumu aizstāt ar drošības naudu.</w:t>
      </w:r>
    </w:p>
    <w:p w:rsidR="007A0BB2" w:rsidRPr="00EB0853" w:rsidRDefault="007A0BB2" w:rsidP="007A0BB2">
      <w:pPr>
        <w:ind w:firstLine="720"/>
        <w:jc w:val="both"/>
        <w:rPr>
          <w:bCs/>
          <w:sz w:val="28"/>
          <w:szCs w:val="28"/>
        </w:rPr>
      </w:pPr>
      <w:r w:rsidRPr="00EB0853">
        <w:rPr>
          <w:bCs/>
          <w:sz w:val="28"/>
          <w:szCs w:val="28"/>
        </w:rPr>
        <w:t>“Latvijas Krimināllietu advokātu biedrība”</w:t>
      </w:r>
      <w:r>
        <w:rPr>
          <w:bCs/>
          <w:sz w:val="28"/>
          <w:szCs w:val="28"/>
        </w:rPr>
        <w:t xml:space="preserve"> ir ieteikusi </w:t>
      </w:r>
      <w:r>
        <w:rPr>
          <w:sz w:val="28"/>
          <w:szCs w:val="28"/>
        </w:rPr>
        <w:t>i</w:t>
      </w:r>
      <w:r w:rsidRPr="00E858F8">
        <w:rPr>
          <w:sz w:val="28"/>
          <w:szCs w:val="28"/>
        </w:rPr>
        <w:t>zteikt 275.panta pirmo daļu šādā redakcijā:</w:t>
      </w:r>
    </w:p>
    <w:p w:rsidR="007A0BB2" w:rsidRPr="00EB0853" w:rsidRDefault="007A0BB2" w:rsidP="007A0BB2">
      <w:pPr>
        <w:jc w:val="both"/>
        <w:rPr>
          <w:sz w:val="28"/>
          <w:szCs w:val="28"/>
        </w:rPr>
      </w:pPr>
      <w:r>
        <w:rPr>
          <w:sz w:val="28"/>
          <w:szCs w:val="28"/>
        </w:rPr>
        <w:t xml:space="preserve">(1) Ja izmeklēšanas tiesnesis </w:t>
      </w:r>
      <w:r w:rsidRPr="005D2F43">
        <w:rPr>
          <w:sz w:val="28"/>
          <w:szCs w:val="28"/>
        </w:rPr>
        <w:t>vai augstāka līmeņa</w:t>
      </w:r>
      <w:r w:rsidRPr="005D2F43">
        <w:rPr>
          <w:b/>
          <w:sz w:val="28"/>
          <w:szCs w:val="28"/>
        </w:rPr>
        <w:t xml:space="preserve"> </w:t>
      </w:r>
      <w:r w:rsidRPr="005D2F43">
        <w:rPr>
          <w:sz w:val="28"/>
          <w:szCs w:val="28"/>
        </w:rPr>
        <w:t>tiesas tiesnesis, kurš izskata sūdzību par tāda drošības līdzekļa piemērošanu, kas saistīts ar brīvības atņemšanu,</w:t>
      </w:r>
      <w:r>
        <w:rPr>
          <w:sz w:val="28"/>
          <w:szCs w:val="28"/>
        </w:rPr>
        <w:t xml:space="preserve"> </w:t>
      </w:r>
      <w:r w:rsidRPr="00EB0853">
        <w:rPr>
          <w:sz w:val="28"/>
          <w:szCs w:val="28"/>
        </w:rPr>
        <w:t>konstatē, ka ir šā likuma 272.pantā norādītais pamats apcietinājuma piemērošanai, taču pastāv arī apstākļi, kas liecina par iespēju piemērot drošības naudu, un ja to lūdz persona, kura īsteno aizstāvību, tiesnesis var noteikt apcietinājuma termiņu uz vienu mēnesi, vienlaikus nosakot, ka apcietinājumu var atcelt, ja persona šajā laikā samaksās tiesneša noteikto drošības naudu.”</w:t>
      </w:r>
    </w:p>
    <w:p w:rsidR="007A0BB2" w:rsidRDefault="007A0BB2" w:rsidP="007A0BB2">
      <w:pPr>
        <w:tabs>
          <w:tab w:val="left" w:pos="426"/>
        </w:tabs>
        <w:jc w:val="both"/>
        <w:rPr>
          <w:sz w:val="28"/>
          <w:szCs w:val="28"/>
        </w:rPr>
      </w:pPr>
      <w:r>
        <w:rPr>
          <w:sz w:val="28"/>
          <w:szCs w:val="28"/>
        </w:rPr>
        <w:tab/>
        <w:t xml:space="preserve">Autors uzskata, ka šāds ierosinājums ir atbalstāms, jo precizējot šo normu, tā tiek nodrošināta tiesiska iespēja arī pie pārsūdzības </w:t>
      </w:r>
      <w:r w:rsidRPr="005D2F43">
        <w:rPr>
          <w:sz w:val="28"/>
          <w:szCs w:val="28"/>
        </w:rPr>
        <w:t xml:space="preserve">augstāka </w:t>
      </w:r>
      <w:r w:rsidRPr="005D2F43">
        <w:rPr>
          <w:sz w:val="28"/>
          <w:szCs w:val="28"/>
        </w:rPr>
        <w:lastRenderedPageBreak/>
        <w:t>līmeņa</w:t>
      </w:r>
      <w:r w:rsidRPr="005D2F43">
        <w:rPr>
          <w:b/>
          <w:sz w:val="28"/>
          <w:szCs w:val="28"/>
        </w:rPr>
        <w:t xml:space="preserve"> </w:t>
      </w:r>
      <w:r>
        <w:rPr>
          <w:sz w:val="28"/>
          <w:szCs w:val="28"/>
        </w:rPr>
        <w:t>tiesas tiesnesim vērtēt vai pastāv apstākļi, kas dot iespēju apcietinājumu aizstāt ar drošības  naudu.</w:t>
      </w:r>
    </w:p>
    <w:p w:rsidR="007A0BB2" w:rsidRDefault="007A0BB2" w:rsidP="007A0BB2">
      <w:pPr>
        <w:tabs>
          <w:tab w:val="left" w:pos="426"/>
        </w:tabs>
        <w:jc w:val="both"/>
        <w:rPr>
          <w:sz w:val="28"/>
          <w:szCs w:val="28"/>
        </w:rPr>
      </w:pPr>
    </w:p>
    <w:p w:rsidR="007A0BB2" w:rsidRPr="00E858F8" w:rsidRDefault="007A0BB2" w:rsidP="007A0BB2">
      <w:pPr>
        <w:tabs>
          <w:tab w:val="left" w:pos="426"/>
        </w:tabs>
        <w:jc w:val="both"/>
        <w:rPr>
          <w:sz w:val="28"/>
          <w:szCs w:val="28"/>
        </w:rPr>
      </w:pPr>
      <w:r>
        <w:rPr>
          <w:sz w:val="28"/>
          <w:szCs w:val="28"/>
        </w:rPr>
        <w:tab/>
        <w:t>Igaunijas KPK 135. pantā ir noteikts, ka p</w:t>
      </w:r>
      <w:r w:rsidRPr="00E858F8">
        <w:rPr>
          <w:sz w:val="28"/>
          <w:szCs w:val="28"/>
        </w:rPr>
        <w:t>ēc aizdomās turētā vai apsūdzētā lūguma pirmstiesas izmeklēšanas tiesnesis vai tiesa var aizstāt apcietinājumu ar drošības naudu.</w:t>
      </w:r>
    </w:p>
    <w:p w:rsidR="007A0BB2" w:rsidRPr="00E858F8" w:rsidRDefault="007A0BB2" w:rsidP="007A0BB2">
      <w:pPr>
        <w:tabs>
          <w:tab w:val="left" w:pos="426"/>
        </w:tabs>
        <w:jc w:val="both"/>
        <w:rPr>
          <w:sz w:val="28"/>
          <w:szCs w:val="28"/>
        </w:rPr>
      </w:pPr>
      <w:r>
        <w:rPr>
          <w:sz w:val="28"/>
          <w:szCs w:val="28"/>
        </w:rPr>
        <w:tab/>
      </w:r>
      <w:r w:rsidRPr="00E858F8">
        <w:rPr>
          <w:sz w:val="28"/>
          <w:szCs w:val="28"/>
        </w:rPr>
        <w:t xml:space="preserve">Drošības nauda </w:t>
      </w:r>
      <w:r>
        <w:rPr>
          <w:sz w:val="28"/>
          <w:szCs w:val="28"/>
        </w:rPr>
        <w:t xml:space="preserve">tiek definēta </w:t>
      </w:r>
      <w:r w:rsidRPr="00E858F8">
        <w:rPr>
          <w:sz w:val="28"/>
          <w:szCs w:val="28"/>
        </w:rPr>
        <w:t>kā drošības līdzeklis</w:t>
      </w:r>
      <w:r>
        <w:rPr>
          <w:sz w:val="28"/>
          <w:szCs w:val="28"/>
        </w:rPr>
        <w:t>, kas</w:t>
      </w:r>
      <w:r w:rsidRPr="00E858F8">
        <w:rPr>
          <w:sz w:val="28"/>
          <w:szCs w:val="28"/>
        </w:rPr>
        <w:t xml:space="preserve"> nozīmē, ka aizdomās turētais vai apsūdzētais pats vai cita persona viņa vietā iemaksā tiesas depozīta kontā noteiktu naudas summu. Aizdomās turētais vai apsūdzētais tiek atbrīvots no apcietinājuma, kad drošības nauda ienākusi tiesas depozīta kontā. </w:t>
      </w:r>
    </w:p>
    <w:p w:rsidR="007A0BB2" w:rsidRPr="00E858F8" w:rsidRDefault="007A0BB2" w:rsidP="007A0BB2">
      <w:pPr>
        <w:tabs>
          <w:tab w:val="left" w:pos="426"/>
        </w:tabs>
        <w:jc w:val="both"/>
        <w:rPr>
          <w:sz w:val="28"/>
          <w:szCs w:val="28"/>
        </w:rPr>
      </w:pPr>
      <w:r>
        <w:rPr>
          <w:sz w:val="28"/>
          <w:szCs w:val="28"/>
        </w:rPr>
        <w:tab/>
      </w:r>
      <w:r w:rsidRPr="00E858F8">
        <w:rPr>
          <w:sz w:val="28"/>
          <w:szCs w:val="28"/>
        </w:rPr>
        <w:t>Nosakot drošības naudas apmēru, tiesa ņem vērā iespējamo soda bardzību, nozieguma radīto zaudējumu apmēru un aizdomās turētā vai apsūdzētā mantisko stāvokli. Minimālais drošības naudas apmērs ir vienlīdzīgs piecsimt</w:t>
      </w:r>
      <w:r>
        <w:rPr>
          <w:sz w:val="28"/>
          <w:szCs w:val="28"/>
        </w:rPr>
        <w:t xml:space="preserve"> </w:t>
      </w:r>
      <w:r w:rsidRPr="00E858F8">
        <w:rPr>
          <w:sz w:val="28"/>
          <w:szCs w:val="28"/>
        </w:rPr>
        <w:t>kārtīgai dienas likmei.</w:t>
      </w:r>
    </w:p>
    <w:p w:rsidR="007A0BB2" w:rsidRPr="00E858F8" w:rsidRDefault="007A0BB2" w:rsidP="007A0BB2">
      <w:pPr>
        <w:tabs>
          <w:tab w:val="left" w:pos="426"/>
        </w:tabs>
        <w:jc w:val="both"/>
        <w:rPr>
          <w:sz w:val="28"/>
          <w:szCs w:val="28"/>
        </w:rPr>
      </w:pPr>
      <w:r>
        <w:rPr>
          <w:sz w:val="28"/>
          <w:szCs w:val="28"/>
        </w:rPr>
        <w:tab/>
      </w:r>
      <w:r w:rsidRPr="00E858F8">
        <w:rPr>
          <w:sz w:val="28"/>
          <w:szCs w:val="28"/>
        </w:rPr>
        <w:t xml:space="preserve">Ja aizdomās turētais vai apsūdzētais izvairās no piedalīšanās kriminālprocesā vai turpina izdarīt noziegumus ar iepriekšēju nodomu, drošības nauda pēc kriminālprocesuālo izdevumu segšanai nepieciešamās summas atskaitīšanas tiek pārskaitīta valstij, pamatojoties uz tiesas spriedumu vai lēmumu par tiesvedības izbeigšanu krimināllietā. </w:t>
      </w:r>
    </w:p>
    <w:p w:rsidR="007A0BB2" w:rsidRPr="00E858F8" w:rsidRDefault="007A0BB2" w:rsidP="007A0BB2">
      <w:pPr>
        <w:tabs>
          <w:tab w:val="left" w:pos="426"/>
        </w:tabs>
        <w:jc w:val="both"/>
        <w:rPr>
          <w:sz w:val="28"/>
          <w:szCs w:val="28"/>
        </w:rPr>
      </w:pPr>
      <w:r>
        <w:rPr>
          <w:sz w:val="28"/>
          <w:szCs w:val="28"/>
        </w:rPr>
        <w:tab/>
        <w:t>Savukārt d</w:t>
      </w:r>
      <w:r w:rsidRPr="00E858F8">
        <w:rPr>
          <w:sz w:val="28"/>
          <w:szCs w:val="28"/>
        </w:rPr>
        <w:t>rošības nauda tiek atmaksāta atpakaļ:</w:t>
      </w:r>
    </w:p>
    <w:p w:rsidR="007A0BB2" w:rsidRPr="00E858F8" w:rsidRDefault="007A0BB2" w:rsidP="007A0BB2">
      <w:pPr>
        <w:tabs>
          <w:tab w:val="left" w:pos="426"/>
        </w:tabs>
        <w:jc w:val="both"/>
        <w:rPr>
          <w:sz w:val="28"/>
          <w:szCs w:val="28"/>
        </w:rPr>
      </w:pPr>
      <w:r w:rsidRPr="00E858F8">
        <w:rPr>
          <w:sz w:val="28"/>
          <w:szCs w:val="28"/>
        </w:rPr>
        <w:t>1)</w:t>
      </w:r>
      <w:r w:rsidRPr="00E858F8">
        <w:rPr>
          <w:sz w:val="28"/>
          <w:szCs w:val="28"/>
        </w:rPr>
        <w:tab/>
        <w:t>ja aizdomās turētais vai apsūdzētais nav pārkāpis likumu;</w:t>
      </w:r>
    </w:p>
    <w:p w:rsidR="007A0BB2" w:rsidRPr="00E858F8" w:rsidRDefault="007A0BB2" w:rsidP="007A0BB2">
      <w:pPr>
        <w:tabs>
          <w:tab w:val="left" w:pos="426"/>
        </w:tabs>
        <w:jc w:val="both"/>
        <w:rPr>
          <w:sz w:val="28"/>
          <w:szCs w:val="28"/>
        </w:rPr>
      </w:pPr>
      <w:r w:rsidRPr="00E858F8">
        <w:rPr>
          <w:sz w:val="28"/>
          <w:szCs w:val="28"/>
        </w:rPr>
        <w:t>2)</w:t>
      </w:r>
      <w:r w:rsidRPr="00E858F8">
        <w:rPr>
          <w:sz w:val="28"/>
          <w:szCs w:val="28"/>
        </w:rPr>
        <w:tab/>
        <w:t>ja tiek izbeigta tiesvedība krimināllietā;</w:t>
      </w:r>
    </w:p>
    <w:p w:rsidR="007A0BB2" w:rsidRPr="00E858F8" w:rsidRDefault="007A0BB2" w:rsidP="007A0BB2">
      <w:pPr>
        <w:tabs>
          <w:tab w:val="left" w:pos="426"/>
        </w:tabs>
        <w:jc w:val="both"/>
        <w:rPr>
          <w:sz w:val="28"/>
          <w:szCs w:val="28"/>
        </w:rPr>
      </w:pPr>
      <w:r w:rsidRPr="00E858F8">
        <w:rPr>
          <w:sz w:val="28"/>
          <w:szCs w:val="28"/>
        </w:rPr>
        <w:t>3)</w:t>
      </w:r>
      <w:r w:rsidRPr="00E858F8">
        <w:rPr>
          <w:sz w:val="28"/>
          <w:szCs w:val="28"/>
        </w:rPr>
        <w:tab/>
        <w:t xml:space="preserve">ja apsūdzētais tiek attaisnots. </w:t>
      </w:r>
    </w:p>
    <w:p w:rsidR="007A0BB2" w:rsidRDefault="007A0BB2" w:rsidP="007A0BB2">
      <w:pPr>
        <w:ind w:firstLine="720"/>
        <w:jc w:val="both"/>
        <w:rPr>
          <w:sz w:val="28"/>
          <w:szCs w:val="28"/>
        </w:rPr>
      </w:pPr>
      <w:r>
        <w:rPr>
          <w:sz w:val="28"/>
          <w:szCs w:val="28"/>
        </w:rPr>
        <w:t>Kā norādīts pantā, m</w:t>
      </w:r>
      <w:r w:rsidRPr="00E858F8">
        <w:rPr>
          <w:sz w:val="28"/>
          <w:szCs w:val="28"/>
        </w:rPr>
        <w:t>inimālais drošības naudas apmērs ir piecu simtu darba dienu atal</w:t>
      </w:r>
      <w:r>
        <w:rPr>
          <w:sz w:val="28"/>
          <w:szCs w:val="28"/>
        </w:rPr>
        <w:t>gojuma („days wages”) apjomā." I</w:t>
      </w:r>
      <w:r w:rsidRPr="00E858F8">
        <w:rPr>
          <w:sz w:val="28"/>
          <w:szCs w:val="28"/>
        </w:rPr>
        <w:t>zmantots termins „darba d</w:t>
      </w:r>
      <w:r>
        <w:rPr>
          <w:sz w:val="28"/>
          <w:szCs w:val="28"/>
        </w:rPr>
        <w:t xml:space="preserve">ienas atalgojums” nav izmantots nekur citur, kā tikai KPK. Piemēram, KPK </w:t>
      </w:r>
      <w:r w:rsidRPr="00E858F8">
        <w:rPr>
          <w:sz w:val="28"/>
          <w:szCs w:val="28"/>
        </w:rPr>
        <w:t>178</w:t>
      </w:r>
      <w:r>
        <w:rPr>
          <w:sz w:val="28"/>
          <w:szCs w:val="28"/>
        </w:rPr>
        <w:t>.p.</w:t>
      </w:r>
      <w:r w:rsidRPr="00E858F8">
        <w:rPr>
          <w:sz w:val="28"/>
          <w:szCs w:val="28"/>
        </w:rPr>
        <w:t xml:space="preserve"> tiek izmantots termins "noteiktā minimālā alga"</w:t>
      </w:r>
      <w:r>
        <w:rPr>
          <w:sz w:val="28"/>
          <w:szCs w:val="28"/>
        </w:rPr>
        <w:t xml:space="preserve">, bet KPK </w:t>
      </w:r>
      <w:r w:rsidRPr="00E858F8">
        <w:rPr>
          <w:sz w:val="28"/>
          <w:szCs w:val="28"/>
        </w:rPr>
        <w:t>179</w:t>
      </w:r>
      <w:r>
        <w:rPr>
          <w:sz w:val="28"/>
          <w:szCs w:val="28"/>
        </w:rPr>
        <w:t xml:space="preserve">.p. "minimālās algas apmērs". </w:t>
      </w:r>
      <w:r w:rsidRPr="00E858F8">
        <w:rPr>
          <w:sz w:val="28"/>
          <w:szCs w:val="28"/>
        </w:rPr>
        <w:t>Vēl tiek izmantoti termini "dienas likme" („daily rate”) un "minimālā</w:t>
      </w:r>
      <w:r>
        <w:rPr>
          <w:sz w:val="28"/>
          <w:szCs w:val="28"/>
        </w:rPr>
        <w:t xml:space="preserve"> dienas likme" (piemēram, KPK </w:t>
      </w:r>
      <w:r w:rsidRPr="00E858F8">
        <w:rPr>
          <w:sz w:val="28"/>
          <w:szCs w:val="28"/>
        </w:rPr>
        <w:t>138</w:t>
      </w:r>
      <w:r>
        <w:rPr>
          <w:sz w:val="28"/>
          <w:szCs w:val="28"/>
        </w:rPr>
        <w:t>.p., 214.p.</w:t>
      </w:r>
      <w:r w:rsidRPr="00E858F8">
        <w:rPr>
          <w:sz w:val="28"/>
          <w:szCs w:val="28"/>
        </w:rPr>
        <w:t xml:space="preserve"> 267</w:t>
      </w:r>
      <w:r>
        <w:rPr>
          <w:sz w:val="28"/>
          <w:szCs w:val="28"/>
        </w:rPr>
        <w:t>.p. un citos pantos</w:t>
      </w:r>
      <w:r w:rsidRPr="00E858F8">
        <w:rPr>
          <w:sz w:val="28"/>
          <w:szCs w:val="28"/>
        </w:rPr>
        <w:t>). Termins "dienas likme" tiek i</w:t>
      </w:r>
      <w:r>
        <w:rPr>
          <w:sz w:val="28"/>
          <w:szCs w:val="28"/>
        </w:rPr>
        <w:t>zmantots arī Sodu kodeksa, turpmāk tekstā SK,</w:t>
      </w:r>
      <w:r w:rsidRPr="00E858F8">
        <w:rPr>
          <w:sz w:val="28"/>
          <w:szCs w:val="28"/>
        </w:rPr>
        <w:t xml:space="preserve"> 44.</w:t>
      </w:r>
      <w:r>
        <w:rPr>
          <w:sz w:val="28"/>
          <w:szCs w:val="28"/>
        </w:rPr>
        <w:t>p.</w:t>
      </w:r>
      <w:r w:rsidRPr="00E858F8">
        <w:rPr>
          <w:sz w:val="28"/>
          <w:szCs w:val="28"/>
        </w:rPr>
        <w:t xml:space="preserve"> Naudas sods par kriminālpārkāpumiem tiek aprēķināts pēc dienas likmes. Naudas sodi var būt </w:t>
      </w:r>
      <w:r>
        <w:rPr>
          <w:sz w:val="28"/>
          <w:szCs w:val="28"/>
        </w:rPr>
        <w:t xml:space="preserve">no 30 līdz 500 dienas </w:t>
      </w:r>
      <w:r w:rsidRPr="00E858F8">
        <w:rPr>
          <w:sz w:val="28"/>
          <w:szCs w:val="28"/>
        </w:rPr>
        <w:t>lik</w:t>
      </w:r>
      <w:r>
        <w:rPr>
          <w:sz w:val="28"/>
          <w:szCs w:val="28"/>
        </w:rPr>
        <w:t xml:space="preserve">mēm. </w:t>
      </w:r>
      <w:r w:rsidRPr="00E858F8">
        <w:rPr>
          <w:sz w:val="28"/>
          <w:szCs w:val="28"/>
        </w:rPr>
        <w:t xml:space="preserve">Igaunijas </w:t>
      </w:r>
      <w:r>
        <w:rPr>
          <w:sz w:val="28"/>
          <w:szCs w:val="28"/>
        </w:rPr>
        <w:t xml:space="preserve">tiesību </w:t>
      </w:r>
      <w:r w:rsidRPr="00E858F8">
        <w:rPr>
          <w:sz w:val="28"/>
          <w:szCs w:val="28"/>
        </w:rPr>
        <w:t xml:space="preserve">literatūrā par tirdzniecību </w:t>
      </w:r>
      <w:r>
        <w:rPr>
          <w:rStyle w:val="FootnoteReference"/>
          <w:sz w:val="28"/>
          <w:szCs w:val="28"/>
        </w:rPr>
        <w:footnoteReference w:id="44"/>
      </w:r>
      <w:r>
        <w:rPr>
          <w:sz w:val="28"/>
          <w:szCs w:val="28"/>
        </w:rPr>
        <w:t xml:space="preserve"> tiesību speciālisti norāda</w:t>
      </w:r>
      <w:r w:rsidRPr="00E858F8">
        <w:rPr>
          <w:sz w:val="28"/>
          <w:szCs w:val="28"/>
        </w:rPr>
        <w:t>, ka „darba diena</w:t>
      </w:r>
      <w:r>
        <w:rPr>
          <w:sz w:val="28"/>
          <w:szCs w:val="28"/>
        </w:rPr>
        <w:t xml:space="preserve">s atalgojums” būtu jāinterpretē kā „dienas likme”. </w:t>
      </w:r>
      <w:r w:rsidRPr="00E858F8">
        <w:rPr>
          <w:sz w:val="28"/>
          <w:szCs w:val="28"/>
        </w:rPr>
        <w:t>"Darba dienas atalgojumu" (dienas likmi) nosaka sākotnējās izmeklēšanas ti</w:t>
      </w:r>
      <w:r>
        <w:rPr>
          <w:sz w:val="28"/>
          <w:szCs w:val="28"/>
        </w:rPr>
        <w:t>esnesis vai tiesa KPK 135.p.</w:t>
      </w:r>
      <w:r w:rsidRPr="00E858F8">
        <w:rPr>
          <w:sz w:val="28"/>
          <w:szCs w:val="28"/>
        </w:rPr>
        <w:t xml:space="preserve"> Nav precīza veida, kā attiecībā uz drošības naudu aprēķināt „darba dienas atalgojumu”.</w:t>
      </w:r>
      <w:r>
        <w:rPr>
          <w:sz w:val="28"/>
          <w:szCs w:val="28"/>
        </w:rPr>
        <w:t xml:space="preserve"> "Dienas likmi" nosaka pēc SK </w:t>
      </w:r>
      <w:r w:rsidRPr="00E858F8">
        <w:rPr>
          <w:sz w:val="28"/>
          <w:szCs w:val="28"/>
        </w:rPr>
        <w:t>44</w:t>
      </w:r>
      <w:r>
        <w:rPr>
          <w:sz w:val="28"/>
          <w:szCs w:val="28"/>
        </w:rPr>
        <w:t>.p.3.d.</w:t>
      </w:r>
      <w:r>
        <w:rPr>
          <w:rStyle w:val="FootnoteReference"/>
          <w:sz w:val="28"/>
          <w:szCs w:val="28"/>
        </w:rPr>
        <w:footnoteReference w:id="45"/>
      </w:r>
      <w:r w:rsidRPr="00E858F8">
        <w:rPr>
          <w:sz w:val="28"/>
          <w:szCs w:val="28"/>
        </w:rPr>
        <w:t xml:space="preserve"> Minimālā „d</w:t>
      </w:r>
      <w:r>
        <w:rPr>
          <w:sz w:val="28"/>
          <w:szCs w:val="28"/>
        </w:rPr>
        <w:t xml:space="preserve">ienas likme” ir 50 Igaunijas kronas (SK </w:t>
      </w:r>
      <w:r w:rsidRPr="00E858F8">
        <w:rPr>
          <w:sz w:val="28"/>
          <w:szCs w:val="28"/>
        </w:rPr>
        <w:t>22</w:t>
      </w:r>
      <w:r>
        <w:rPr>
          <w:sz w:val="28"/>
          <w:szCs w:val="28"/>
        </w:rPr>
        <w:t>.p.2</w:t>
      </w:r>
      <w:r w:rsidRPr="00E858F8">
        <w:rPr>
          <w:sz w:val="28"/>
          <w:szCs w:val="28"/>
        </w:rPr>
        <w:t>.</w:t>
      </w:r>
      <w:r>
        <w:rPr>
          <w:sz w:val="28"/>
          <w:szCs w:val="28"/>
        </w:rPr>
        <w:t>d.)</w:t>
      </w:r>
    </w:p>
    <w:p w:rsidR="007A0BB2" w:rsidRPr="00466E01" w:rsidRDefault="007A0BB2" w:rsidP="007A0BB2">
      <w:pPr>
        <w:ind w:firstLine="720"/>
        <w:jc w:val="both"/>
        <w:rPr>
          <w:sz w:val="20"/>
          <w:szCs w:val="20"/>
        </w:rPr>
      </w:pPr>
      <w:r w:rsidRPr="00E858F8">
        <w:rPr>
          <w:sz w:val="28"/>
          <w:szCs w:val="28"/>
        </w:rPr>
        <w:lastRenderedPageBreak/>
        <w:t>Vācijas KPK 116. pant</w:t>
      </w:r>
      <w:r>
        <w:rPr>
          <w:sz w:val="28"/>
          <w:szCs w:val="28"/>
        </w:rPr>
        <w:t>ā ir noteikts, ka  tiesnesis pārtrauc aresta ordera</w:t>
      </w:r>
      <w:r w:rsidRPr="00E858F8">
        <w:rPr>
          <w:sz w:val="28"/>
          <w:szCs w:val="28"/>
        </w:rPr>
        <w:t xml:space="preserve"> izpildi, ja ar mazāk radikālu līdzekļu piemērošanu arī iespējams īstenot to pašu mērķi, ko ar apcietināšanu uz izmeklēšanas laiku, proti, piemērojot</w:t>
      </w:r>
      <w:r>
        <w:rPr>
          <w:sz w:val="28"/>
          <w:szCs w:val="28"/>
        </w:rPr>
        <w:t>:</w:t>
      </w:r>
    </w:p>
    <w:p w:rsidR="007A0BB2" w:rsidRPr="00E858F8" w:rsidRDefault="007A0BB2" w:rsidP="007A0BB2">
      <w:pPr>
        <w:jc w:val="both"/>
        <w:rPr>
          <w:sz w:val="28"/>
          <w:szCs w:val="28"/>
        </w:rPr>
      </w:pPr>
      <w:r w:rsidRPr="00E858F8">
        <w:rPr>
          <w:sz w:val="28"/>
          <w:szCs w:val="28"/>
        </w:rPr>
        <w:t>1. pavēli par ierašanos noteiktos laikos pie tiesneša tiesu izmeklēšanas iestādē vai regulāru pieteikšanos kādā citā, tiesneša noteiktā vietā,</w:t>
      </w:r>
    </w:p>
    <w:p w:rsidR="007A0BB2" w:rsidRPr="00E858F8" w:rsidRDefault="007A0BB2" w:rsidP="007A0BB2">
      <w:pPr>
        <w:jc w:val="both"/>
        <w:rPr>
          <w:sz w:val="28"/>
          <w:szCs w:val="28"/>
        </w:rPr>
      </w:pPr>
      <w:r w:rsidRPr="00E858F8">
        <w:rPr>
          <w:sz w:val="28"/>
          <w:szCs w:val="28"/>
        </w:rPr>
        <w:t>2. pavēli par dzīves vai uzturēšanās vietas vai citas noteiktas teritorijas neatstāšanu bez tiesneša vai tiesu izmeklēšanas iestādes atļaujas,</w:t>
      </w:r>
    </w:p>
    <w:p w:rsidR="007A0BB2" w:rsidRPr="00E858F8" w:rsidRDefault="007A0BB2" w:rsidP="007A0BB2">
      <w:pPr>
        <w:jc w:val="both"/>
        <w:rPr>
          <w:sz w:val="28"/>
          <w:szCs w:val="28"/>
        </w:rPr>
      </w:pPr>
      <w:r w:rsidRPr="00E858F8">
        <w:rPr>
          <w:sz w:val="28"/>
          <w:szCs w:val="28"/>
        </w:rPr>
        <w:t>3. pavēli par dzīvokļa atstāšanu tikai noteiktas personas uzraudzībā,</w:t>
      </w:r>
    </w:p>
    <w:p w:rsidR="007A0BB2" w:rsidRPr="00E858F8" w:rsidRDefault="007A0BB2" w:rsidP="007A0BB2">
      <w:pPr>
        <w:jc w:val="both"/>
        <w:rPr>
          <w:sz w:val="28"/>
          <w:szCs w:val="28"/>
        </w:rPr>
      </w:pPr>
      <w:r w:rsidRPr="00E858F8">
        <w:rPr>
          <w:sz w:val="28"/>
          <w:szCs w:val="28"/>
        </w:rPr>
        <w:t xml:space="preserve">4. piemērotu </w:t>
      </w:r>
      <w:r w:rsidRPr="00E858F8">
        <w:rPr>
          <w:i/>
          <w:sz w:val="28"/>
          <w:szCs w:val="28"/>
        </w:rPr>
        <w:t>drošības naudu</w:t>
      </w:r>
      <w:r w:rsidRPr="00E858F8">
        <w:rPr>
          <w:sz w:val="28"/>
          <w:szCs w:val="28"/>
        </w:rPr>
        <w:t xml:space="preserve">, kuru nodrošina apsūdzētā persona vai kāda cita persona. </w:t>
      </w:r>
    </w:p>
    <w:p w:rsidR="007A0BB2" w:rsidRPr="00E858F8" w:rsidRDefault="007A0BB2" w:rsidP="007A0BB2">
      <w:pPr>
        <w:ind w:firstLine="720"/>
        <w:jc w:val="both"/>
        <w:rPr>
          <w:sz w:val="28"/>
          <w:szCs w:val="28"/>
        </w:rPr>
      </w:pPr>
      <w:r>
        <w:rPr>
          <w:sz w:val="28"/>
          <w:szCs w:val="28"/>
        </w:rPr>
        <w:t xml:space="preserve">Savukārt </w:t>
      </w:r>
      <w:r w:rsidRPr="00E858F8">
        <w:rPr>
          <w:sz w:val="28"/>
          <w:szCs w:val="28"/>
        </w:rPr>
        <w:t xml:space="preserve">Vācijas KPK </w:t>
      </w:r>
      <w:smartTag w:uri="urn:schemas-microsoft-com:office:smarttags" w:element="metricconverter">
        <w:smartTagPr>
          <w:attr w:name="ProductID" w:val="116. a"/>
        </w:smartTagPr>
        <w:r w:rsidRPr="00E858F8">
          <w:rPr>
            <w:sz w:val="28"/>
            <w:szCs w:val="28"/>
          </w:rPr>
          <w:t>116. a</w:t>
        </w:r>
      </w:smartTag>
      <w:r>
        <w:rPr>
          <w:sz w:val="28"/>
          <w:szCs w:val="28"/>
        </w:rPr>
        <w:t xml:space="preserve"> pantā ir noteikts, ka d</w:t>
      </w:r>
      <w:r w:rsidRPr="00E858F8">
        <w:rPr>
          <w:sz w:val="28"/>
          <w:szCs w:val="28"/>
        </w:rPr>
        <w:t>rošības nauda ir garantējama ar tādiem līdzekļiem kā skaidra nauda, vērtspapīri, ķīla v</w:t>
      </w:r>
      <w:r>
        <w:rPr>
          <w:sz w:val="28"/>
          <w:szCs w:val="28"/>
        </w:rPr>
        <w:t xml:space="preserve">ai atbilstošu personu galvojums. </w:t>
      </w:r>
      <w:r w:rsidRPr="00E858F8">
        <w:rPr>
          <w:sz w:val="28"/>
          <w:szCs w:val="28"/>
        </w:rPr>
        <w:t>Tiesnesis nosaka drošības naudas apjomu un veidu pēc saviem ieskatiem.</w:t>
      </w:r>
    </w:p>
    <w:p w:rsidR="007A0BB2" w:rsidRPr="00E858F8" w:rsidRDefault="007A0BB2" w:rsidP="007A0BB2">
      <w:pPr>
        <w:ind w:firstLine="720"/>
        <w:jc w:val="both"/>
        <w:rPr>
          <w:sz w:val="28"/>
          <w:szCs w:val="28"/>
        </w:rPr>
      </w:pPr>
      <w:r w:rsidRPr="000A30C4">
        <w:rPr>
          <w:sz w:val="28"/>
          <w:szCs w:val="28"/>
        </w:rPr>
        <w:t>KF KP</w:t>
      </w:r>
      <w:r>
        <w:rPr>
          <w:sz w:val="28"/>
          <w:szCs w:val="28"/>
        </w:rPr>
        <w:t xml:space="preserve">K 106.p. ir reglamentēts drošības līdzeklis ķīla, kas pēc satura atbilst drošības līdzeklim –drošības nauda. </w:t>
      </w:r>
      <w:r w:rsidRPr="00E858F8">
        <w:rPr>
          <w:sz w:val="28"/>
          <w:szCs w:val="28"/>
        </w:rPr>
        <w:t>Ķīlas iesniegšanas mērķis ir nodrošināt aizdomās turētās personas ierašanos pie procesa izmeklētāja, prokurora un tiesas kā arī brīdinājums neizdarīt jaunus noziegumus.</w:t>
      </w:r>
    </w:p>
    <w:p w:rsidR="007A0BB2" w:rsidRPr="00E858F8" w:rsidRDefault="007A0BB2" w:rsidP="007A0BB2">
      <w:pPr>
        <w:ind w:firstLine="720"/>
        <w:jc w:val="both"/>
        <w:rPr>
          <w:sz w:val="28"/>
          <w:szCs w:val="28"/>
        </w:rPr>
      </w:pPr>
      <w:r w:rsidRPr="00E858F8">
        <w:rPr>
          <w:sz w:val="28"/>
          <w:szCs w:val="28"/>
        </w:rPr>
        <w:t>Veidu un apjomu nosaka, tā persona, kas piemēro drošības līdzekli, vadoties no izdarītā nozieguma rakstura, aizdomās turētā personības un personas materiālā stāvokļa.</w:t>
      </w:r>
    </w:p>
    <w:p w:rsidR="007A0BB2" w:rsidRDefault="007A0BB2" w:rsidP="007A0BB2">
      <w:pPr>
        <w:ind w:firstLine="720"/>
        <w:jc w:val="both"/>
        <w:rPr>
          <w:sz w:val="28"/>
          <w:szCs w:val="28"/>
        </w:rPr>
      </w:pPr>
      <w:r w:rsidRPr="00E858F8">
        <w:rPr>
          <w:sz w:val="28"/>
          <w:szCs w:val="28"/>
        </w:rPr>
        <w:t xml:space="preserve">Kā ķīla var tikt iesniegta depozītā naudas līdzekļi, vērtspapīri vai dārglietas </w:t>
      </w:r>
      <w:r>
        <w:rPr>
          <w:sz w:val="28"/>
          <w:szCs w:val="28"/>
        </w:rPr>
        <w:t>– dārgmetāli, dārgakmeņi u.t.t. Ķīlas mass</w:t>
      </w:r>
      <w:r w:rsidRPr="00E858F8">
        <w:rPr>
          <w:sz w:val="28"/>
          <w:szCs w:val="28"/>
        </w:rPr>
        <w:t>ā var ietilpt arī nekustamais īpašums.</w:t>
      </w:r>
      <w:r>
        <w:rPr>
          <w:sz w:val="28"/>
          <w:szCs w:val="28"/>
        </w:rPr>
        <w:t xml:space="preserve"> </w:t>
      </w:r>
      <w:r w:rsidRPr="00E858F8">
        <w:rPr>
          <w:sz w:val="28"/>
          <w:szCs w:val="28"/>
        </w:rPr>
        <w:t>Ķīlas summa, kā noteikums, nevajadzētu būt mazākai par radīto kaitējumu, kas radīts izdarot noziegumu un iesniegtās civilprasības apjomu.</w:t>
      </w:r>
    </w:p>
    <w:p w:rsidR="007A0BB2" w:rsidRPr="000A30C4" w:rsidRDefault="007A0BB2" w:rsidP="007A0BB2">
      <w:pPr>
        <w:ind w:firstLine="720"/>
        <w:jc w:val="both"/>
        <w:rPr>
          <w:sz w:val="28"/>
          <w:szCs w:val="28"/>
        </w:rPr>
      </w:pPr>
      <w:r>
        <w:rPr>
          <w:sz w:val="28"/>
          <w:szCs w:val="28"/>
        </w:rPr>
        <w:t xml:space="preserve">Salīdzinot ārvalstu kodeksus, kur ir reglamentētas normas, kas attiecas uz drošības naudas piemērošanu un apmēra noteikšanu, ir jāsecina, ka tās atšķiras. Tā piemēram Vācijā izmeklēšanas tiesnesis </w:t>
      </w:r>
      <w:r w:rsidRPr="00E858F8">
        <w:rPr>
          <w:sz w:val="28"/>
          <w:szCs w:val="28"/>
        </w:rPr>
        <w:t xml:space="preserve">drošības naudas apjomu un veidu </w:t>
      </w:r>
      <w:r>
        <w:rPr>
          <w:sz w:val="28"/>
          <w:szCs w:val="28"/>
        </w:rPr>
        <w:t xml:space="preserve">nosaka </w:t>
      </w:r>
      <w:r w:rsidRPr="00E858F8">
        <w:rPr>
          <w:sz w:val="28"/>
          <w:szCs w:val="28"/>
        </w:rPr>
        <w:t>pēc saviem ieskatiem</w:t>
      </w:r>
      <w:r>
        <w:rPr>
          <w:sz w:val="28"/>
          <w:szCs w:val="28"/>
        </w:rPr>
        <w:t xml:space="preserve">, bet Igaunijā drošības naudas </w:t>
      </w:r>
      <w:r w:rsidRPr="00E858F8">
        <w:rPr>
          <w:sz w:val="28"/>
          <w:szCs w:val="28"/>
        </w:rPr>
        <w:t>apmēru, pamatojoties uz potenciālā soda līmeni, kriminālpārkāpuma rezultātā radīto zaudējumu apjomu un aizdomās turamā vai apsūdzētā finanšu stāvokli.</w:t>
      </w:r>
      <w:r>
        <w:rPr>
          <w:sz w:val="28"/>
          <w:szCs w:val="28"/>
        </w:rPr>
        <w:t xml:space="preserve"> Autors uzskata, ka vadoties no taisnīguma un objektivitātes principa, kritērijiem ir jābūt noteiktiem kā tas ir atspoguļots Igaunijas KPK.</w:t>
      </w:r>
    </w:p>
    <w:p w:rsidR="007A0BB2" w:rsidRDefault="007A0BB2" w:rsidP="007A0BB2">
      <w:pPr>
        <w:jc w:val="both"/>
        <w:rPr>
          <w:sz w:val="28"/>
          <w:szCs w:val="28"/>
          <w:u w:val="single"/>
        </w:rPr>
      </w:pPr>
    </w:p>
    <w:p w:rsidR="007A0BB2" w:rsidRPr="007B2CE5" w:rsidRDefault="007A0BB2" w:rsidP="007A0BB2">
      <w:pPr>
        <w:jc w:val="both"/>
        <w:rPr>
          <w:b/>
          <w:sz w:val="28"/>
          <w:szCs w:val="28"/>
        </w:rPr>
      </w:pPr>
      <w:r>
        <w:rPr>
          <w:b/>
          <w:sz w:val="28"/>
          <w:szCs w:val="28"/>
        </w:rPr>
        <w:t>3.3. M</w:t>
      </w:r>
      <w:r w:rsidRPr="007B2CE5">
        <w:rPr>
          <w:b/>
          <w:sz w:val="28"/>
          <w:szCs w:val="28"/>
        </w:rPr>
        <w:t>ā</w:t>
      </w:r>
      <w:r>
        <w:rPr>
          <w:b/>
          <w:sz w:val="28"/>
          <w:szCs w:val="28"/>
        </w:rPr>
        <w:t>jas arests</w:t>
      </w:r>
    </w:p>
    <w:p w:rsidR="007A0BB2" w:rsidRDefault="007A0BB2" w:rsidP="007A0BB2">
      <w:pPr>
        <w:jc w:val="both"/>
        <w:rPr>
          <w:sz w:val="28"/>
          <w:szCs w:val="28"/>
        </w:rPr>
      </w:pPr>
    </w:p>
    <w:p w:rsidR="007A0BB2" w:rsidRPr="00FE66FF" w:rsidRDefault="007A0BB2" w:rsidP="007A0BB2">
      <w:pPr>
        <w:ind w:firstLine="720"/>
        <w:jc w:val="both"/>
        <w:rPr>
          <w:bCs/>
          <w:sz w:val="28"/>
          <w:szCs w:val="28"/>
        </w:rPr>
      </w:pPr>
      <w:r w:rsidRPr="00D87B2E">
        <w:rPr>
          <w:bCs/>
          <w:sz w:val="28"/>
          <w:szCs w:val="28"/>
        </w:rPr>
        <w:t>Saskaņā ar Latvijas KPL 28</w:t>
      </w:r>
      <w:r>
        <w:rPr>
          <w:bCs/>
          <w:sz w:val="28"/>
          <w:szCs w:val="28"/>
        </w:rPr>
        <w:t xml:space="preserve">2.panta 1.d. </w:t>
      </w:r>
      <w:r>
        <w:rPr>
          <w:sz w:val="28"/>
          <w:szCs w:val="28"/>
        </w:rPr>
        <w:t>m</w:t>
      </w:r>
      <w:r w:rsidRPr="00D87B2E">
        <w:rPr>
          <w:sz w:val="28"/>
          <w:szCs w:val="28"/>
        </w:rPr>
        <w:t>ājas arests ir personas brīvības atņemšana, ko ar</w:t>
      </w:r>
      <w:r w:rsidRPr="00E858F8">
        <w:rPr>
          <w:sz w:val="28"/>
          <w:szCs w:val="28"/>
        </w:rPr>
        <w:t xml:space="preserve"> izmeklēšanas tiesneša lēmumu vai tiesas nolēmumu var piemērot aizdomās turētajam vai apsūdzētajam pirms </w:t>
      </w:r>
      <w:r w:rsidRPr="00E858F8">
        <w:rPr>
          <w:sz w:val="28"/>
          <w:szCs w:val="28"/>
        </w:rPr>
        <w:lastRenderedPageBreak/>
        <w:t>galīgā nolēmuma spēkā stāšanās konkrētajā kriminālprocesā, ja pastāv pamats apcietinājuma piemērošanai, taču personu īpašu apstākļu dēļ nav vēlams vai nav iespējams turēt apcietinājumā.</w:t>
      </w:r>
    </w:p>
    <w:p w:rsidR="007A0BB2" w:rsidRPr="00E858F8" w:rsidRDefault="007A0BB2" w:rsidP="007A0BB2">
      <w:pPr>
        <w:jc w:val="both"/>
        <w:rPr>
          <w:sz w:val="28"/>
          <w:szCs w:val="28"/>
        </w:rPr>
      </w:pPr>
      <w:r w:rsidRPr="00E858F8">
        <w:rPr>
          <w:sz w:val="28"/>
          <w:szCs w:val="28"/>
        </w:rPr>
        <w:t>(2) Mājas arestā personu var turēt tās pastāvīgajā dzīvesvietā, ja tam piekrīt ar attiecīgo personu kopā dzīvojošās pilngadīgās personas.</w:t>
      </w:r>
    </w:p>
    <w:p w:rsidR="007A0BB2" w:rsidRPr="00E858F8" w:rsidRDefault="007A0BB2" w:rsidP="007A0BB2">
      <w:pPr>
        <w:jc w:val="both"/>
        <w:rPr>
          <w:sz w:val="28"/>
          <w:szCs w:val="28"/>
        </w:rPr>
      </w:pPr>
      <w:r w:rsidRPr="00E858F8">
        <w:rPr>
          <w:sz w:val="28"/>
          <w:szCs w:val="28"/>
        </w:rPr>
        <w:t>(3) Mājas arestu piemēro, sūdzības par tā piemērošanu izskata un kontroli pār tā piemērošanu veic tādā pašā kārtībā kā par apcietinājumu.</w:t>
      </w:r>
    </w:p>
    <w:p w:rsidR="007A0BB2" w:rsidRPr="009A1A26" w:rsidRDefault="007A0BB2" w:rsidP="007A0BB2">
      <w:pPr>
        <w:jc w:val="both"/>
        <w:rPr>
          <w:i/>
          <w:sz w:val="28"/>
          <w:szCs w:val="28"/>
        </w:rPr>
      </w:pPr>
      <w:r w:rsidRPr="009A1A26">
        <w:rPr>
          <w:i/>
          <w:sz w:val="28"/>
          <w:szCs w:val="28"/>
        </w:rPr>
        <w:t>(4) Mājas arestā turētajai personai var piemērot šā likuma 271.panta otrajā daļā paredzētos ierobežojumus.</w:t>
      </w:r>
    </w:p>
    <w:p w:rsidR="007A0BB2" w:rsidRPr="00E858F8" w:rsidRDefault="007A0BB2" w:rsidP="007A0BB2">
      <w:pPr>
        <w:jc w:val="both"/>
        <w:rPr>
          <w:sz w:val="28"/>
          <w:szCs w:val="28"/>
        </w:rPr>
      </w:pPr>
      <w:r w:rsidRPr="00E858F8">
        <w:rPr>
          <w:sz w:val="28"/>
          <w:szCs w:val="28"/>
        </w:rPr>
        <w:t>(5) Ja nepieciešams, mājas arestā turēto personu var apsargāt, kontroli pār tai noteikto ierobežojumu ievērošanu uzdot policijai, kā arī pakļaut kontrolei ar šo personu kopā dzīvojošo personu korespondenci un sakaru līdzekļus.</w:t>
      </w:r>
    </w:p>
    <w:p w:rsidR="007A0BB2" w:rsidRPr="00E858F8" w:rsidRDefault="007A0BB2" w:rsidP="007A0BB2">
      <w:pPr>
        <w:jc w:val="both"/>
        <w:rPr>
          <w:sz w:val="28"/>
          <w:szCs w:val="28"/>
        </w:rPr>
      </w:pPr>
      <w:r w:rsidRPr="00E858F8">
        <w:rPr>
          <w:sz w:val="28"/>
          <w:szCs w:val="28"/>
        </w:rPr>
        <w:t xml:space="preserve">(6) Mājas arestam piemērojami apcietinājuma termiņi, un tajā pavadītais laiks uzskatāms par apcietinājumā pavadīto laiku, </w:t>
      </w:r>
      <w:r w:rsidRPr="00272D7E">
        <w:rPr>
          <w:sz w:val="28"/>
          <w:szCs w:val="28"/>
        </w:rPr>
        <w:t>skaitot vienu mājas aresta dienu</w:t>
      </w:r>
      <w:r w:rsidRPr="00E858F8">
        <w:rPr>
          <w:sz w:val="28"/>
          <w:szCs w:val="28"/>
        </w:rPr>
        <w:t xml:space="preserve"> par vienu apcietinājuma dienu.</w:t>
      </w:r>
    </w:p>
    <w:p w:rsidR="007A0BB2" w:rsidRPr="0098623D" w:rsidRDefault="007A0BB2" w:rsidP="007A0BB2">
      <w:pPr>
        <w:ind w:firstLine="720"/>
        <w:jc w:val="both"/>
        <w:rPr>
          <w:bCs/>
          <w:sz w:val="28"/>
          <w:szCs w:val="28"/>
          <w:lang w:val="fr-FR"/>
        </w:rPr>
      </w:pPr>
      <w:r>
        <w:rPr>
          <w:bCs/>
          <w:sz w:val="28"/>
          <w:szCs w:val="28"/>
          <w:lang w:val="fr-FR"/>
        </w:rPr>
        <w:t xml:space="preserve">Savukārt, TM kriminālprocesa darba grupa ir piedāvājusi veikt grozījumus un vēlas </w:t>
      </w:r>
      <w:r>
        <w:rPr>
          <w:sz w:val="28"/>
          <w:szCs w:val="28"/>
          <w:lang w:val="fr-FR"/>
        </w:rPr>
        <w:t>i</w:t>
      </w:r>
      <w:r w:rsidRPr="00E858F8">
        <w:rPr>
          <w:sz w:val="28"/>
          <w:szCs w:val="28"/>
          <w:lang w:val="fr-FR"/>
        </w:rPr>
        <w:t xml:space="preserve">zteikt </w:t>
      </w:r>
      <w:r>
        <w:rPr>
          <w:sz w:val="28"/>
          <w:szCs w:val="28"/>
          <w:lang w:val="fr-FR"/>
        </w:rPr>
        <w:t>KPL 282.panta</w:t>
      </w:r>
      <w:r w:rsidRPr="00E858F8">
        <w:rPr>
          <w:sz w:val="28"/>
          <w:szCs w:val="28"/>
          <w:lang w:val="fr-FR"/>
        </w:rPr>
        <w:t xml:space="preserve"> ceturto daļu šādā redakcijā:</w:t>
      </w:r>
    </w:p>
    <w:p w:rsidR="007A0BB2" w:rsidRPr="00E858F8" w:rsidRDefault="007A0BB2" w:rsidP="007A0BB2">
      <w:pPr>
        <w:jc w:val="both"/>
        <w:rPr>
          <w:sz w:val="28"/>
          <w:szCs w:val="28"/>
        </w:rPr>
      </w:pPr>
      <w:r w:rsidRPr="00E858F8">
        <w:rPr>
          <w:sz w:val="28"/>
          <w:szCs w:val="28"/>
        </w:rPr>
        <w:t>„(4) Izmeklēšanas tiesnesis vai tiesa, izvērtējot izmeklētāja vai prokurora ierosinājumu un uzklausot mājas arestā turamās personas viedokli, kā arī ņemot vērā noziedzīgā nodarījuma raksturu, drošības līdzekļa piemērošanas iemeslus un īpašos apstākļus, kāpēc piemērots mājas arests, nosaka:</w:t>
      </w:r>
    </w:p>
    <w:p w:rsidR="007A0BB2" w:rsidRPr="00E858F8" w:rsidRDefault="007A0BB2" w:rsidP="007A0BB2">
      <w:pPr>
        <w:jc w:val="both"/>
        <w:rPr>
          <w:sz w:val="28"/>
          <w:szCs w:val="28"/>
          <w:lang w:val="fr-FR"/>
        </w:rPr>
      </w:pPr>
      <w:r w:rsidRPr="00E858F8">
        <w:rPr>
          <w:sz w:val="28"/>
          <w:szCs w:val="28"/>
          <w:lang w:val="fr-FR"/>
        </w:rPr>
        <w:t>1) adresi, kurā personai jāuzturas mājas aresta laikā;</w:t>
      </w:r>
    </w:p>
    <w:p w:rsidR="007A0BB2" w:rsidRPr="00E858F8" w:rsidRDefault="007A0BB2" w:rsidP="007A0BB2">
      <w:pPr>
        <w:jc w:val="both"/>
        <w:rPr>
          <w:sz w:val="28"/>
          <w:szCs w:val="28"/>
          <w:lang w:val="fr-FR"/>
        </w:rPr>
      </w:pPr>
      <w:r w:rsidRPr="00E858F8">
        <w:rPr>
          <w:sz w:val="28"/>
          <w:szCs w:val="28"/>
          <w:lang w:val="fr-FR"/>
        </w:rPr>
        <w:t>2) tikšanās un sazināšanās ierobežojumus, izņemot tikšanos ar aizstāvi un attiecīgajā adresē dzīvojošām personām;</w:t>
      </w:r>
    </w:p>
    <w:p w:rsidR="007A0BB2" w:rsidRPr="00E858F8" w:rsidRDefault="007A0BB2" w:rsidP="007A0BB2">
      <w:pPr>
        <w:jc w:val="both"/>
        <w:rPr>
          <w:sz w:val="28"/>
          <w:szCs w:val="28"/>
          <w:lang w:val="fr-FR"/>
        </w:rPr>
      </w:pPr>
      <w:r w:rsidRPr="00E858F8">
        <w:rPr>
          <w:sz w:val="28"/>
          <w:szCs w:val="28"/>
          <w:lang w:val="fr-FR"/>
        </w:rPr>
        <w:t>3) korespondences un sarunu kontroli;</w:t>
      </w:r>
    </w:p>
    <w:p w:rsidR="007A0BB2" w:rsidRPr="00E858F8" w:rsidRDefault="007A0BB2" w:rsidP="007A0BB2">
      <w:pPr>
        <w:jc w:val="both"/>
        <w:rPr>
          <w:sz w:val="28"/>
          <w:szCs w:val="28"/>
          <w:lang w:val="fr-FR"/>
        </w:rPr>
      </w:pPr>
      <w:r w:rsidRPr="00E858F8">
        <w:rPr>
          <w:sz w:val="28"/>
          <w:szCs w:val="28"/>
          <w:lang w:val="fr-FR"/>
        </w:rPr>
        <w:t>4) apsardzes nepieciešamību noteiktajā adresē, kā arī pārvietojot personu uz procesuālās darbības norises vietu.”</w:t>
      </w:r>
    </w:p>
    <w:p w:rsidR="007A0BB2" w:rsidRPr="00E858F8" w:rsidRDefault="007A0BB2" w:rsidP="007A0BB2">
      <w:pPr>
        <w:ind w:firstLine="720"/>
        <w:jc w:val="both"/>
        <w:rPr>
          <w:sz w:val="28"/>
          <w:szCs w:val="28"/>
        </w:rPr>
      </w:pPr>
      <w:r w:rsidRPr="00E858F8">
        <w:rPr>
          <w:sz w:val="28"/>
          <w:szCs w:val="28"/>
        </w:rPr>
        <w:t>Autora mērķ</w:t>
      </w:r>
      <w:r>
        <w:rPr>
          <w:sz w:val="28"/>
          <w:szCs w:val="28"/>
        </w:rPr>
        <w:t>is ir parādīt kādas tiesiska rakstura problēmas</w:t>
      </w:r>
      <w:r w:rsidRPr="00E858F8">
        <w:rPr>
          <w:sz w:val="28"/>
          <w:szCs w:val="28"/>
        </w:rPr>
        <w:t xml:space="preserve"> rodas tiesu praksē piemērojot tiesību normas, kas attiecas uz – māja</w:t>
      </w:r>
      <w:r>
        <w:rPr>
          <w:sz w:val="28"/>
          <w:szCs w:val="28"/>
        </w:rPr>
        <w:t>s arestu. Ilustrācijai tiks izanalizēti izmeklēšanas tiesneša un procesa virzītāja viedokļi</w:t>
      </w:r>
      <w:r w:rsidRPr="00E858F8">
        <w:rPr>
          <w:sz w:val="28"/>
          <w:szCs w:val="28"/>
        </w:rPr>
        <w:t xml:space="preserve"> :</w:t>
      </w:r>
    </w:p>
    <w:p w:rsidR="007A0BB2" w:rsidRDefault="007A0BB2" w:rsidP="007A0BB2">
      <w:pPr>
        <w:ind w:firstLine="720"/>
        <w:jc w:val="both"/>
        <w:rPr>
          <w:sz w:val="28"/>
          <w:szCs w:val="28"/>
        </w:rPr>
      </w:pPr>
      <w:r w:rsidRPr="00D87B2E">
        <w:rPr>
          <w:sz w:val="28"/>
          <w:szCs w:val="28"/>
        </w:rPr>
        <w:t xml:space="preserve">Rīgas pilsētas Centra rajona tiesas </w:t>
      </w:r>
      <w:r>
        <w:rPr>
          <w:sz w:val="28"/>
          <w:szCs w:val="28"/>
        </w:rPr>
        <w:t>izmeklēšanas tiesnesis</w:t>
      </w:r>
      <w:r w:rsidRPr="00D87B2E">
        <w:rPr>
          <w:sz w:val="28"/>
          <w:szCs w:val="28"/>
        </w:rPr>
        <w:t xml:space="preserve"> 09.08.2007.</w:t>
      </w:r>
      <w:r>
        <w:rPr>
          <w:sz w:val="28"/>
          <w:szCs w:val="28"/>
        </w:rPr>
        <w:t xml:space="preserve"> skatot</w:t>
      </w:r>
      <w:r w:rsidRPr="00E858F8">
        <w:rPr>
          <w:sz w:val="28"/>
          <w:szCs w:val="28"/>
        </w:rPr>
        <w:t xml:space="preserve"> </w:t>
      </w:r>
      <w:r>
        <w:rPr>
          <w:sz w:val="28"/>
          <w:szCs w:val="28"/>
        </w:rPr>
        <w:t>lietu nr.12812003205</w:t>
      </w:r>
      <w:r w:rsidRPr="00E858F8">
        <w:rPr>
          <w:sz w:val="28"/>
          <w:szCs w:val="28"/>
        </w:rPr>
        <w:t xml:space="preserve"> </w:t>
      </w:r>
      <w:r>
        <w:rPr>
          <w:sz w:val="28"/>
          <w:szCs w:val="28"/>
        </w:rPr>
        <w:t>un vērtējot</w:t>
      </w:r>
      <w:r w:rsidRPr="00E858F8">
        <w:rPr>
          <w:sz w:val="28"/>
          <w:szCs w:val="28"/>
        </w:rPr>
        <w:t xml:space="preserve"> vai ir </w:t>
      </w:r>
      <w:r>
        <w:rPr>
          <w:sz w:val="28"/>
          <w:szCs w:val="28"/>
        </w:rPr>
        <w:t>pamatoti aizdomās turētajam A.</w:t>
      </w:r>
      <w:r w:rsidRPr="00E858F8">
        <w:rPr>
          <w:sz w:val="28"/>
          <w:szCs w:val="28"/>
        </w:rPr>
        <w:t xml:space="preserve"> turpmāk piemērot mājas arestu, </w:t>
      </w:r>
      <w:r>
        <w:rPr>
          <w:sz w:val="28"/>
          <w:szCs w:val="28"/>
        </w:rPr>
        <w:t xml:space="preserve">tiesnesis </w:t>
      </w:r>
      <w:r w:rsidRPr="00E858F8">
        <w:rPr>
          <w:sz w:val="28"/>
          <w:szCs w:val="28"/>
        </w:rPr>
        <w:t>ir paudis sekojošu  vie</w:t>
      </w:r>
      <w:r>
        <w:rPr>
          <w:sz w:val="28"/>
          <w:szCs w:val="28"/>
        </w:rPr>
        <w:t>dokli par iespējamību piemērot a</w:t>
      </w:r>
      <w:r w:rsidRPr="00E858F8">
        <w:rPr>
          <w:sz w:val="28"/>
          <w:szCs w:val="28"/>
        </w:rPr>
        <w:t xml:space="preserve">pcietinājuma turēšanas kārtības likumu. Paužot savu viedokli tiesa ir </w:t>
      </w:r>
      <w:r>
        <w:rPr>
          <w:sz w:val="28"/>
          <w:szCs w:val="28"/>
        </w:rPr>
        <w:t>vērtējusi procesa virzītāja izteikto</w:t>
      </w:r>
      <w:r w:rsidRPr="00E858F8">
        <w:rPr>
          <w:sz w:val="28"/>
          <w:szCs w:val="28"/>
        </w:rPr>
        <w:t>, k</w:t>
      </w:r>
      <w:r>
        <w:rPr>
          <w:sz w:val="28"/>
          <w:szCs w:val="28"/>
        </w:rPr>
        <w:t>a mājas arestam ir piemērojami a</w:t>
      </w:r>
      <w:r w:rsidRPr="00E858F8">
        <w:rPr>
          <w:sz w:val="28"/>
          <w:szCs w:val="28"/>
        </w:rPr>
        <w:t>pcietinājuma turēšanas kārtības likuma noteikumi un KPL 271.p.</w:t>
      </w:r>
      <w:r>
        <w:rPr>
          <w:sz w:val="28"/>
          <w:szCs w:val="28"/>
        </w:rPr>
        <w:t xml:space="preserve"> </w:t>
      </w:r>
      <w:r w:rsidRPr="00E858F8">
        <w:rPr>
          <w:sz w:val="28"/>
          <w:szCs w:val="28"/>
        </w:rPr>
        <w:t>norād</w:t>
      </w:r>
      <w:r>
        <w:rPr>
          <w:sz w:val="28"/>
          <w:szCs w:val="28"/>
        </w:rPr>
        <w:t>īto ierobežojumu saturu paredz a</w:t>
      </w:r>
      <w:r w:rsidRPr="00E858F8">
        <w:rPr>
          <w:sz w:val="28"/>
          <w:szCs w:val="28"/>
        </w:rPr>
        <w:t xml:space="preserve">pcietinājuma turēšanas kārtības likums. Vērtē, ka jautājums par mājas aresta nosacījumiem </w:t>
      </w:r>
      <w:r>
        <w:rPr>
          <w:sz w:val="28"/>
          <w:szCs w:val="28"/>
        </w:rPr>
        <w:t xml:space="preserve">izlemj procesa virzītājs.’’ </w:t>
      </w:r>
    </w:p>
    <w:p w:rsidR="007A0BB2" w:rsidRDefault="007A0BB2" w:rsidP="007A0BB2">
      <w:pPr>
        <w:ind w:firstLine="720"/>
        <w:jc w:val="both"/>
        <w:rPr>
          <w:sz w:val="28"/>
          <w:szCs w:val="28"/>
        </w:rPr>
      </w:pPr>
      <w:r>
        <w:rPr>
          <w:sz w:val="28"/>
          <w:szCs w:val="28"/>
        </w:rPr>
        <w:lastRenderedPageBreak/>
        <w:t>Tiesa secina</w:t>
      </w:r>
      <w:r w:rsidRPr="00E858F8">
        <w:rPr>
          <w:sz w:val="28"/>
          <w:szCs w:val="28"/>
        </w:rPr>
        <w:t>,</w:t>
      </w:r>
      <w:r>
        <w:rPr>
          <w:sz w:val="28"/>
          <w:szCs w:val="28"/>
        </w:rPr>
        <w:t xml:space="preserve"> ka</w:t>
      </w:r>
      <w:r w:rsidRPr="00E858F8">
        <w:rPr>
          <w:sz w:val="28"/>
          <w:szCs w:val="28"/>
        </w:rPr>
        <w:t xml:space="preserve"> ‘’nevar uzskatīt par pamatotu prokurora viedokli, ka uz personu, kam piem</w:t>
      </w:r>
      <w:r>
        <w:rPr>
          <w:sz w:val="28"/>
          <w:szCs w:val="28"/>
        </w:rPr>
        <w:t>ērots mājas arests attiecināmi a</w:t>
      </w:r>
      <w:r w:rsidRPr="00E858F8">
        <w:rPr>
          <w:sz w:val="28"/>
          <w:szCs w:val="28"/>
        </w:rPr>
        <w:t>pcietinājuma turēšanas kārtības likuma noteikumi. Šis ir speciālais likums un saskaņā ar tajā norādīto attiecas uz drošības līdzekļa-apcietinājuma izpildi cietumā vai citā brīvības atņemšanas vietā un šo likumu nav iespējams tulkot paplašināti attiecinot uz citu drošības līdzekli. Tāpat nevar uzskatīt, ka jebkuru jautājumu, kas saistīts ar mājas aresta nosacījumiem izlemj prokurors. Jautājumu izlemšana kriminālprocesā pieļaujama tikai saskaņā ar KPL noteikto kompetenci.’’</w:t>
      </w:r>
      <w:r>
        <w:rPr>
          <w:rStyle w:val="FootnoteReference"/>
          <w:sz w:val="28"/>
          <w:szCs w:val="28"/>
        </w:rPr>
        <w:footnoteReference w:id="46"/>
      </w:r>
    </w:p>
    <w:p w:rsidR="007A0BB2" w:rsidRDefault="007A0BB2" w:rsidP="007A0BB2">
      <w:pPr>
        <w:ind w:firstLine="720"/>
        <w:jc w:val="both"/>
        <w:rPr>
          <w:sz w:val="28"/>
          <w:szCs w:val="28"/>
        </w:rPr>
      </w:pPr>
      <w:r>
        <w:rPr>
          <w:sz w:val="28"/>
          <w:szCs w:val="28"/>
        </w:rPr>
        <w:t xml:space="preserve">Savukārt, RAT </w:t>
      </w:r>
      <w:r w:rsidRPr="00D87B2E">
        <w:rPr>
          <w:sz w:val="28"/>
          <w:szCs w:val="28"/>
        </w:rPr>
        <w:t>krimināllietu kolēģijas tiesnesis 29.08.2007.</w:t>
      </w:r>
      <w:r w:rsidRPr="00E858F8">
        <w:rPr>
          <w:sz w:val="28"/>
          <w:szCs w:val="28"/>
        </w:rPr>
        <w:t xml:space="preserve"> skatot prokurora protestu un aizstāv</w:t>
      </w:r>
      <w:r>
        <w:rPr>
          <w:sz w:val="28"/>
          <w:szCs w:val="28"/>
        </w:rPr>
        <w:t xml:space="preserve">ja sūdzību, augstāk minētajam viedoklim nepiekrita sekojošu iemeslu dēļ: </w:t>
      </w:r>
    </w:p>
    <w:p w:rsidR="007A0BB2" w:rsidRPr="00E858F8" w:rsidRDefault="007A0BB2" w:rsidP="007A0BB2">
      <w:pPr>
        <w:jc w:val="both"/>
        <w:rPr>
          <w:sz w:val="28"/>
          <w:szCs w:val="28"/>
        </w:rPr>
      </w:pPr>
      <w:r>
        <w:rPr>
          <w:sz w:val="28"/>
          <w:szCs w:val="28"/>
        </w:rPr>
        <w:t xml:space="preserve">1. </w:t>
      </w:r>
      <w:r w:rsidRPr="00E858F8">
        <w:rPr>
          <w:sz w:val="28"/>
          <w:szCs w:val="28"/>
        </w:rPr>
        <w:t>KPL 282.p.4.d. paredz , kā mājas arestā tu</w:t>
      </w:r>
      <w:r>
        <w:rPr>
          <w:sz w:val="28"/>
          <w:szCs w:val="28"/>
        </w:rPr>
        <w:t>rētajai personai var piemērot  KPL</w:t>
      </w:r>
      <w:r w:rsidRPr="00E858F8">
        <w:rPr>
          <w:sz w:val="28"/>
          <w:szCs w:val="28"/>
        </w:rPr>
        <w:t xml:space="preserve"> 271.p.2.d. paredzētos ierobežojumus, savukārt minētā panta 3.d. nosaka, ka mājas arestu piemēro, sūdzības par tā piemērošanu izskata un kontroli par tā piemērošanu veic tādā pašā kārtībā kā par apcietinājumu.</w:t>
      </w:r>
    </w:p>
    <w:p w:rsidR="007A0BB2" w:rsidRPr="00E858F8" w:rsidRDefault="007A0BB2" w:rsidP="007A0BB2">
      <w:pPr>
        <w:jc w:val="both"/>
        <w:rPr>
          <w:sz w:val="28"/>
          <w:szCs w:val="28"/>
        </w:rPr>
      </w:pPr>
      <w:r>
        <w:rPr>
          <w:sz w:val="28"/>
          <w:szCs w:val="28"/>
        </w:rPr>
        <w:t>2.</w:t>
      </w:r>
      <w:r w:rsidRPr="00E858F8">
        <w:rPr>
          <w:sz w:val="28"/>
          <w:szCs w:val="28"/>
        </w:rPr>
        <w:t xml:space="preserve"> KPL 271.p.3.d. nosaka, ka likumā noteiktajās robežās katram apcietinātajam izmeklēšanas tiesnesis vai tiesa nosaka individuāli, izvērtējot izmeklētāja vai prokurora priekšlikumus, uzklausot apcietinātā viedokli, kā arī ņemot vērā noziedzīga nodarījuma rak</w:t>
      </w:r>
      <w:r>
        <w:rPr>
          <w:sz w:val="28"/>
          <w:szCs w:val="28"/>
        </w:rPr>
        <w:t>sturu un apcietināšanas iemeslu. Lai gan</w:t>
      </w:r>
      <w:r w:rsidRPr="00E858F8">
        <w:rPr>
          <w:sz w:val="28"/>
          <w:szCs w:val="28"/>
        </w:rPr>
        <w:t xml:space="preserve"> minētā panta 4.daļa nosaka, ka apcietinājumā turēšanas kārtību nosaka īpašs likums, vienlaicīgi ne KPL normas ne jeb kāds cits speciāls likums neregulē mājas arestā turēšanas kārtību.</w:t>
      </w:r>
      <w:r>
        <w:rPr>
          <w:sz w:val="28"/>
          <w:szCs w:val="28"/>
        </w:rPr>
        <w:t xml:space="preserve"> Tiesa uzskata, ka</w:t>
      </w:r>
      <w:r w:rsidRPr="00E858F8">
        <w:rPr>
          <w:sz w:val="28"/>
          <w:szCs w:val="28"/>
        </w:rPr>
        <w:t xml:space="preserve"> prokurors protestā pamatoti ir norādījis, ka nav nekāda pamata uzskatīt, ka mājas aresta gadījumā ierobežojumu apjoma noteikšanai varētu būt citāda nozīme, nekā apcietinājuma</w:t>
      </w:r>
      <w:r>
        <w:rPr>
          <w:sz w:val="28"/>
          <w:szCs w:val="28"/>
        </w:rPr>
        <w:t xml:space="preserve"> gadījumā un nebūtu ievērojams a</w:t>
      </w:r>
      <w:r w:rsidRPr="00E858F8">
        <w:rPr>
          <w:sz w:val="28"/>
          <w:szCs w:val="28"/>
        </w:rPr>
        <w:t>pcietinājuma turēšanas kārtības likuma normas</w:t>
      </w:r>
      <w:r>
        <w:rPr>
          <w:sz w:val="28"/>
          <w:szCs w:val="28"/>
        </w:rPr>
        <w:t>.</w:t>
      </w:r>
      <w:r>
        <w:rPr>
          <w:rStyle w:val="FootnoteReference"/>
          <w:sz w:val="28"/>
          <w:szCs w:val="28"/>
        </w:rPr>
        <w:footnoteReference w:id="47"/>
      </w:r>
      <w:r>
        <w:rPr>
          <w:sz w:val="28"/>
          <w:szCs w:val="28"/>
        </w:rPr>
        <w:t xml:space="preserve"> Š</w:t>
      </w:r>
      <w:r w:rsidRPr="00E858F8">
        <w:rPr>
          <w:sz w:val="28"/>
          <w:szCs w:val="28"/>
        </w:rPr>
        <w:t>is tiesas lēmums,</w:t>
      </w:r>
      <w:r>
        <w:rPr>
          <w:sz w:val="28"/>
          <w:szCs w:val="28"/>
        </w:rPr>
        <w:t xml:space="preserve"> kas pēc autora domām ir kļūdains,</w:t>
      </w:r>
      <w:r w:rsidRPr="00E858F8">
        <w:rPr>
          <w:sz w:val="28"/>
          <w:szCs w:val="28"/>
        </w:rPr>
        <w:t xml:space="preserve"> saskaņā ar KPL 287.p.5.d. nav pārsūdzams. </w:t>
      </w:r>
      <w:r>
        <w:rPr>
          <w:sz w:val="28"/>
          <w:szCs w:val="28"/>
        </w:rPr>
        <w:t>Kā rīkoties, ja šāds tiesas lēmums ir nepamatots, bet viņš nav pārsūdzams?</w:t>
      </w:r>
    </w:p>
    <w:p w:rsidR="007A0BB2" w:rsidRDefault="007A0BB2" w:rsidP="007A0BB2">
      <w:pPr>
        <w:ind w:firstLine="720"/>
        <w:jc w:val="both"/>
        <w:rPr>
          <w:sz w:val="28"/>
          <w:szCs w:val="28"/>
        </w:rPr>
      </w:pPr>
      <w:r>
        <w:rPr>
          <w:sz w:val="28"/>
          <w:szCs w:val="28"/>
        </w:rPr>
        <w:t xml:space="preserve">Autors uzskata, ka RAT tiesnesis ir izdarījis pretrunīgus un kļūdainus secinājumus, jo apcietinājuma turēšanas likums, kas ir speciālais likums, strikti nosaka, ka tas ir piemērojams tikai un vienīgi personām, kurām ir piemērots drošības līdzeklis –apcietinājums. Te nav piemērojama analoģija. Nav pamatota tiesas atsauce, ka netiek </w:t>
      </w:r>
      <w:r w:rsidRPr="00E858F8">
        <w:rPr>
          <w:sz w:val="28"/>
          <w:szCs w:val="28"/>
        </w:rPr>
        <w:t>regulē</w:t>
      </w:r>
      <w:r>
        <w:rPr>
          <w:sz w:val="28"/>
          <w:szCs w:val="28"/>
        </w:rPr>
        <w:t>ta mājas arestā turēšanas kārtība</w:t>
      </w:r>
      <w:r w:rsidRPr="00E858F8">
        <w:rPr>
          <w:sz w:val="28"/>
          <w:szCs w:val="28"/>
        </w:rPr>
        <w:t>.</w:t>
      </w:r>
      <w:r>
        <w:rPr>
          <w:sz w:val="28"/>
          <w:szCs w:val="28"/>
        </w:rPr>
        <w:t xml:space="preserve"> Personai, kurai ir piemērots mājas arests, KPL pieļauj piemērot ierobežojumus, kas paredzēti KPL 271.p.2.d., kā arī pēc nepieciešamības, mājas arestā turēto personu var apsargāt, </w:t>
      </w:r>
      <w:r>
        <w:rPr>
          <w:sz w:val="28"/>
          <w:szCs w:val="28"/>
        </w:rPr>
        <w:lastRenderedPageBreak/>
        <w:t>kontroli pār tai noteikto ierobežojumu ievērošanu uzdodot policijai, kā arī pakļaut ar šo personu dzīvojošo personu korespondenci un sakaru līdzekļus, kā to nosaka KPL 282.p.5.d.</w:t>
      </w:r>
    </w:p>
    <w:p w:rsidR="007A0BB2" w:rsidRPr="00E858F8" w:rsidRDefault="007A0BB2" w:rsidP="007A0BB2">
      <w:pPr>
        <w:ind w:firstLine="720"/>
        <w:jc w:val="both"/>
        <w:rPr>
          <w:sz w:val="28"/>
          <w:szCs w:val="28"/>
        </w:rPr>
      </w:pPr>
      <w:r>
        <w:rPr>
          <w:sz w:val="28"/>
          <w:szCs w:val="28"/>
        </w:rPr>
        <w:t xml:space="preserve">Autors viedokļu salīdzināšanai atspoguļos </w:t>
      </w:r>
      <w:r w:rsidRPr="00E858F8">
        <w:rPr>
          <w:sz w:val="28"/>
          <w:szCs w:val="28"/>
        </w:rPr>
        <w:t>14.08.2</w:t>
      </w:r>
      <w:r>
        <w:rPr>
          <w:sz w:val="28"/>
          <w:szCs w:val="28"/>
        </w:rPr>
        <w:t xml:space="preserve">008. </w:t>
      </w:r>
      <w:r w:rsidRPr="00A778BC">
        <w:rPr>
          <w:sz w:val="28"/>
          <w:szCs w:val="28"/>
        </w:rPr>
        <w:t>LR Tiesībsar</w:t>
      </w:r>
      <w:r>
        <w:rPr>
          <w:sz w:val="28"/>
          <w:szCs w:val="28"/>
        </w:rPr>
        <w:t>ga</w:t>
      </w:r>
      <w:r w:rsidRPr="00A778BC">
        <w:rPr>
          <w:b/>
          <w:sz w:val="28"/>
          <w:szCs w:val="28"/>
        </w:rPr>
        <w:t xml:space="preserve"> </w:t>
      </w:r>
      <w:r>
        <w:rPr>
          <w:sz w:val="28"/>
          <w:szCs w:val="28"/>
        </w:rPr>
        <w:t xml:space="preserve">viedokli par apcietinājuma turēšanas kārtības likuma piemērošanu situācijā, kad ir piemērots mājas arests. Apsūdzētais A. </w:t>
      </w:r>
      <w:r w:rsidRPr="00E858F8">
        <w:rPr>
          <w:sz w:val="28"/>
          <w:szCs w:val="28"/>
        </w:rPr>
        <w:t xml:space="preserve">savā iesniegumā norādīja, ka mājas aresta laikā pret </w:t>
      </w:r>
      <w:r>
        <w:rPr>
          <w:sz w:val="28"/>
          <w:szCs w:val="28"/>
        </w:rPr>
        <w:t>viņu esot nepamatoti piemērots a</w:t>
      </w:r>
      <w:r w:rsidRPr="00E858F8">
        <w:rPr>
          <w:sz w:val="28"/>
          <w:szCs w:val="28"/>
        </w:rPr>
        <w:t>pcietinājuma turēšanas kārtības likums, turpmāk Likums.</w:t>
      </w:r>
    </w:p>
    <w:p w:rsidR="007A0BB2" w:rsidRPr="00E858F8" w:rsidRDefault="007A0BB2" w:rsidP="007A0BB2">
      <w:pPr>
        <w:ind w:firstLine="720"/>
        <w:jc w:val="both"/>
        <w:rPr>
          <w:sz w:val="28"/>
          <w:szCs w:val="28"/>
        </w:rPr>
      </w:pPr>
      <w:r>
        <w:rPr>
          <w:sz w:val="28"/>
          <w:szCs w:val="28"/>
        </w:rPr>
        <w:t xml:space="preserve">Tiesībsargs secina, ka </w:t>
      </w:r>
      <w:r w:rsidRPr="00E858F8">
        <w:rPr>
          <w:sz w:val="28"/>
          <w:szCs w:val="28"/>
        </w:rPr>
        <w:t xml:space="preserve">Likuma 1.p. nosaka, ka ‘’ likuma mērķis ir nodrošināt cilvēktiesību un kriminālprocesa interešu samērīgu ievērošanu drošības līdzekļa – apcietinājums – izpildē.’’ Tātad </w:t>
      </w:r>
      <w:r>
        <w:rPr>
          <w:sz w:val="28"/>
          <w:szCs w:val="28"/>
        </w:rPr>
        <w:t>tas</w:t>
      </w:r>
      <w:r w:rsidRPr="00E858F8">
        <w:rPr>
          <w:sz w:val="28"/>
          <w:szCs w:val="28"/>
        </w:rPr>
        <w:t xml:space="preserve"> ir attiecināms uz apcietinājumiem, proti, personā</w:t>
      </w:r>
      <w:r>
        <w:rPr>
          <w:sz w:val="28"/>
          <w:szCs w:val="28"/>
        </w:rPr>
        <w:t>m</w:t>
      </w:r>
      <w:r w:rsidRPr="00E858F8">
        <w:rPr>
          <w:sz w:val="28"/>
          <w:szCs w:val="28"/>
        </w:rPr>
        <w:t>, kurām ar tiesas nolēmumu atņemta brīvība. Mājas arests arī tiek piemērots ar tiesneša nolēmumu un tas ir saistīts ar personas brīvības atņemšanu.</w:t>
      </w:r>
      <w:r>
        <w:rPr>
          <w:sz w:val="28"/>
          <w:szCs w:val="28"/>
        </w:rPr>
        <w:t xml:space="preserve"> </w:t>
      </w:r>
      <w:r w:rsidRPr="00E858F8">
        <w:rPr>
          <w:sz w:val="28"/>
          <w:szCs w:val="28"/>
        </w:rPr>
        <w:t>Likuma 4.p.1.d. paredz, ka ‘’apcietinājumu izpilda izmeklēšanas cietumā vai citā brīvības atņemšanas iestādē izveidotā izmeklēšanas cietuma nodaļā’’. Tātad apcietinājuma izpildei ir paredzēta īpaši šim nolūkam piemērota vieta, kurā var izpildīt visas likuma norādītās prasības. Mājas arests tiek izpildīts personas dzīves vietā. Tomēr būtiskākā atšķirība ir tā, ka apcietinājuma gadījumā personas nodrošinājums ir tiešā valsts atbildībā, proti, valsts nodrošina ēdināšanu, dzīves vietu, tajā skaitā arī komunālos pakalpojumus, medicīnisko palīdzību, resocializācijas pasākumus, brīvā laika pavadīšanas iespējas u.t.t. savukārt mājas aresta laikā lielāko daļu no šiem pasākumiem nodrošina pati persona, nevis valsts.</w:t>
      </w:r>
    </w:p>
    <w:p w:rsidR="007A0BB2" w:rsidRPr="00E858F8" w:rsidRDefault="007A0BB2" w:rsidP="007A0BB2">
      <w:pPr>
        <w:ind w:firstLine="720"/>
        <w:jc w:val="both"/>
        <w:rPr>
          <w:sz w:val="28"/>
          <w:szCs w:val="28"/>
        </w:rPr>
      </w:pPr>
      <w:r w:rsidRPr="00E858F8">
        <w:rPr>
          <w:sz w:val="28"/>
          <w:szCs w:val="28"/>
        </w:rPr>
        <w:t>Tāpat, analizējot tiesību un pienākumu saturu apcietinājumā, ir redzamas būtiskas atšķirības no mājas aresta izpildes specifikas. Proti, apcietinājumā esošai personai ir ļoti ierobežots lietu skaits, ko tā var turēt pie sevis kamerā, savukārt ir neiedomājami, ka mājas aresta laikā personai pašai būtu jāizlemj, ko tā drīkst vai nedrīkst lietot.</w:t>
      </w:r>
    </w:p>
    <w:p w:rsidR="007A0BB2" w:rsidRPr="00E858F8" w:rsidRDefault="007A0BB2" w:rsidP="007A0BB2">
      <w:pPr>
        <w:jc w:val="both"/>
        <w:rPr>
          <w:sz w:val="28"/>
          <w:szCs w:val="28"/>
        </w:rPr>
      </w:pPr>
      <w:r w:rsidRPr="00E858F8">
        <w:rPr>
          <w:sz w:val="28"/>
          <w:szCs w:val="28"/>
        </w:rPr>
        <w:tab/>
      </w:r>
      <w:r>
        <w:rPr>
          <w:sz w:val="28"/>
          <w:szCs w:val="28"/>
        </w:rPr>
        <w:t xml:space="preserve">LR </w:t>
      </w:r>
      <w:r w:rsidRPr="00E858F8">
        <w:rPr>
          <w:sz w:val="28"/>
          <w:szCs w:val="28"/>
        </w:rPr>
        <w:t>Tiesībsargs uzskata, ka Apcietinājuma turēšanas kārtības likuma piemērošana mājas aresta laikā ir nepamatota un nesamērīgi ierobežo personas tiesības.’’</w:t>
      </w:r>
      <w:r>
        <w:rPr>
          <w:sz w:val="28"/>
          <w:szCs w:val="28"/>
        </w:rPr>
        <w:t xml:space="preserve"> LR Tiesībsarga izteiktie secinājumi un normu analīze, sakrīt ar  autora pausto viedokli.</w:t>
      </w:r>
    </w:p>
    <w:p w:rsidR="007A0BB2" w:rsidRPr="00E858F8" w:rsidRDefault="007A0BB2" w:rsidP="007A0BB2">
      <w:pPr>
        <w:ind w:firstLine="720"/>
        <w:jc w:val="both"/>
        <w:rPr>
          <w:sz w:val="28"/>
          <w:szCs w:val="28"/>
        </w:rPr>
      </w:pPr>
      <w:r>
        <w:rPr>
          <w:sz w:val="28"/>
          <w:szCs w:val="28"/>
        </w:rPr>
        <w:t>Polemisku viedokli par augstāk minēto jautājumu ir sniegusi TM</w:t>
      </w:r>
      <w:r w:rsidRPr="000174D5">
        <w:rPr>
          <w:sz w:val="28"/>
          <w:szCs w:val="28"/>
        </w:rPr>
        <w:t>, kas ir radikāli pretējs</w:t>
      </w:r>
      <w:r w:rsidRPr="00E858F8">
        <w:rPr>
          <w:sz w:val="28"/>
          <w:szCs w:val="28"/>
        </w:rPr>
        <w:t xml:space="preserve"> </w:t>
      </w:r>
      <w:r>
        <w:rPr>
          <w:sz w:val="28"/>
          <w:szCs w:val="28"/>
        </w:rPr>
        <w:t>Centra rajona izmeklēšanas tiesneša, autora un LR Tiesībsarga viedokļiem.</w:t>
      </w:r>
      <w:r w:rsidRPr="00E858F8">
        <w:rPr>
          <w:sz w:val="28"/>
          <w:szCs w:val="28"/>
        </w:rPr>
        <w:t xml:space="preserve"> </w:t>
      </w:r>
      <w:r>
        <w:rPr>
          <w:sz w:val="28"/>
          <w:szCs w:val="28"/>
        </w:rPr>
        <w:t xml:space="preserve">TM </w:t>
      </w:r>
      <w:r w:rsidRPr="00E858F8">
        <w:rPr>
          <w:sz w:val="28"/>
          <w:szCs w:val="28"/>
        </w:rPr>
        <w:t>autoram 0</w:t>
      </w:r>
      <w:r>
        <w:rPr>
          <w:sz w:val="28"/>
          <w:szCs w:val="28"/>
        </w:rPr>
        <w:t>7.12.2007. ir devusi atbildi uz</w:t>
      </w:r>
      <w:r w:rsidRPr="00E858F8">
        <w:rPr>
          <w:sz w:val="28"/>
          <w:szCs w:val="28"/>
        </w:rPr>
        <w:t xml:space="preserve"> jautājumu: ‘’Vai nosakot personai drošības līdzekli ‘’mājas arests’’, saskaņā ar KPL 282.p.</w:t>
      </w:r>
      <w:r>
        <w:rPr>
          <w:sz w:val="28"/>
          <w:szCs w:val="28"/>
        </w:rPr>
        <w:t>,</w:t>
      </w:r>
      <w:r w:rsidRPr="00E858F8">
        <w:rPr>
          <w:sz w:val="28"/>
          <w:szCs w:val="28"/>
        </w:rPr>
        <w:t xml:space="preserve"> ir piemērojams ‘’Apcietinājuma turēšanas kārtības likums’’?</w:t>
      </w:r>
    </w:p>
    <w:p w:rsidR="007A0BB2" w:rsidRDefault="007A0BB2" w:rsidP="007A0BB2">
      <w:pPr>
        <w:ind w:firstLine="720"/>
        <w:jc w:val="both"/>
        <w:rPr>
          <w:sz w:val="28"/>
          <w:szCs w:val="28"/>
        </w:rPr>
      </w:pPr>
      <w:r w:rsidRPr="00E858F8">
        <w:rPr>
          <w:sz w:val="28"/>
          <w:szCs w:val="28"/>
        </w:rPr>
        <w:t>TM</w:t>
      </w:r>
      <w:r>
        <w:rPr>
          <w:sz w:val="28"/>
          <w:szCs w:val="28"/>
        </w:rPr>
        <w:t xml:space="preserve"> sniedza sekojošu viedokli: ‘’T</w:t>
      </w:r>
      <w:r w:rsidRPr="00E858F8">
        <w:rPr>
          <w:sz w:val="28"/>
          <w:szCs w:val="28"/>
        </w:rPr>
        <w:t xml:space="preserve">ā kā KPL netiek regulēti jautājumi par KPL 271.p.2.d. minēto personas tiesību ierobežojumu izpildi attiecībā pret personu, kurai piemērots drošības līdzeklis – apcietinājums, daļu no ierobežojumiem regulē Apcietinājuma turēšanas </w:t>
      </w:r>
      <w:r w:rsidRPr="00E858F8">
        <w:rPr>
          <w:sz w:val="28"/>
          <w:szCs w:val="28"/>
        </w:rPr>
        <w:lastRenderedPageBreak/>
        <w:t>kārtības likums, tad uzskatām, ka, lai nodrošinātu KPL 271.p.2.d. izpildi attiecībā pret personu, kurai piemērots drošības līdzeklis-mājas arests, ir piemērojamas arī Apcietinājumā turēšanas kārtība</w:t>
      </w:r>
      <w:r>
        <w:rPr>
          <w:sz w:val="28"/>
          <w:szCs w:val="28"/>
        </w:rPr>
        <w:t xml:space="preserve">s likuma normas.’’ </w:t>
      </w:r>
    </w:p>
    <w:p w:rsidR="007A0BB2" w:rsidRDefault="007A0BB2" w:rsidP="007A0BB2">
      <w:pPr>
        <w:ind w:firstLine="720"/>
        <w:jc w:val="both"/>
        <w:rPr>
          <w:sz w:val="28"/>
          <w:szCs w:val="28"/>
        </w:rPr>
      </w:pPr>
      <w:r w:rsidRPr="00377AA4">
        <w:rPr>
          <w:sz w:val="28"/>
          <w:szCs w:val="28"/>
        </w:rPr>
        <w:t>Izanalizējot dažādu</w:t>
      </w:r>
      <w:r w:rsidRPr="00E858F8">
        <w:rPr>
          <w:sz w:val="28"/>
          <w:szCs w:val="28"/>
        </w:rPr>
        <w:t xml:space="preserve"> instanču tiesas pieņemtos lēmumus, Tiesībsarga un TM </w:t>
      </w:r>
      <w:r>
        <w:rPr>
          <w:sz w:val="28"/>
          <w:szCs w:val="28"/>
        </w:rPr>
        <w:t>viedokļus</w:t>
      </w:r>
      <w:r w:rsidRPr="00E858F8">
        <w:rPr>
          <w:sz w:val="28"/>
          <w:szCs w:val="28"/>
        </w:rPr>
        <w:t>, autors ierosina KPL ietvert nor</w:t>
      </w:r>
      <w:r>
        <w:rPr>
          <w:sz w:val="28"/>
          <w:szCs w:val="28"/>
        </w:rPr>
        <w:t>mu, kas strikti noteiktu, ka ‘</w:t>
      </w:r>
      <w:bookmarkStart w:id="6" w:name="OLE_LINK7"/>
      <w:bookmarkStart w:id="7" w:name="OLE_LINK8"/>
      <w:r>
        <w:rPr>
          <w:sz w:val="28"/>
          <w:szCs w:val="28"/>
        </w:rPr>
        <w:t>’</w:t>
      </w:r>
      <w:r w:rsidRPr="00E858F8">
        <w:rPr>
          <w:sz w:val="28"/>
          <w:szCs w:val="28"/>
        </w:rPr>
        <w:t xml:space="preserve">Apcietinājuma turēšanas kārtības likums’’ </w:t>
      </w:r>
      <w:r>
        <w:rPr>
          <w:sz w:val="28"/>
          <w:szCs w:val="28"/>
        </w:rPr>
        <w:t xml:space="preserve">attiecas tikai un vienīgi uz personām, kurā izmeklēšanas tiesnesis ir piemērojis apcietinājumu. </w:t>
      </w:r>
      <w:bookmarkEnd w:id="6"/>
      <w:bookmarkEnd w:id="7"/>
      <w:r>
        <w:rPr>
          <w:sz w:val="28"/>
          <w:szCs w:val="28"/>
        </w:rPr>
        <w:t>Autors piedāvā izteikts KPL 271.p.4.d. šādā redakcijā:</w:t>
      </w:r>
    </w:p>
    <w:p w:rsidR="007A0BB2" w:rsidRDefault="007A0BB2" w:rsidP="007A0BB2">
      <w:pPr>
        <w:jc w:val="both"/>
        <w:rPr>
          <w:sz w:val="28"/>
          <w:szCs w:val="28"/>
        </w:rPr>
      </w:pPr>
      <w:r>
        <w:rPr>
          <w:sz w:val="28"/>
          <w:szCs w:val="28"/>
        </w:rPr>
        <w:t>(4) ‘’Apcietinājuma izpildi nosaka a</w:t>
      </w:r>
      <w:r w:rsidRPr="00E858F8">
        <w:rPr>
          <w:sz w:val="28"/>
          <w:szCs w:val="28"/>
        </w:rPr>
        <w:t>pcietināj</w:t>
      </w:r>
      <w:r>
        <w:rPr>
          <w:sz w:val="28"/>
          <w:szCs w:val="28"/>
        </w:rPr>
        <w:t xml:space="preserve">uma turēšanas kārtības likums.’’ </w:t>
      </w:r>
    </w:p>
    <w:p w:rsidR="007A0BB2" w:rsidRPr="00E858F8" w:rsidRDefault="007A0BB2" w:rsidP="007A0BB2">
      <w:pPr>
        <w:ind w:firstLine="720"/>
        <w:jc w:val="both"/>
        <w:rPr>
          <w:sz w:val="28"/>
          <w:szCs w:val="28"/>
        </w:rPr>
      </w:pPr>
      <w:r>
        <w:rPr>
          <w:sz w:val="28"/>
          <w:szCs w:val="28"/>
        </w:rPr>
        <w:t>Uzskatu, ka veicot grozījumus tiks izskausta kļūdaina tiesu prakse un novērsta iespējamība  pārkāpt</w:t>
      </w:r>
      <w:r w:rsidRPr="00E858F8">
        <w:rPr>
          <w:sz w:val="28"/>
          <w:szCs w:val="28"/>
        </w:rPr>
        <w:t xml:space="preserve"> </w:t>
      </w:r>
      <w:r>
        <w:rPr>
          <w:sz w:val="28"/>
          <w:szCs w:val="28"/>
        </w:rPr>
        <w:t xml:space="preserve">kriminālprocesa likumā garantētās cilvēktiesības. </w:t>
      </w:r>
    </w:p>
    <w:p w:rsidR="007A0BB2" w:rsidRPr="00E858F8" w:rsidRDefault="007A0BB2" w:rsidP="007A0BB2">
      <w:pPr>
        <w:ind w:firstLine="720"/>
        <w:jc w:val="both"/>
        <w:rPr>
          <w:sz w:val="28"/>
          <w:szCs w:val="28"/>
        </w:rPr>
      </w:pPr>
      <w:r w:rsidRPr="00E858F8">
        <w:rPr>
          <w:sz w:val="28"/>
          <w:szCs w:val="28"/>
        </w:rPr>
        <w:t xml:space="preserve">Lietuvas KPK </w:t>
      </w:r>
      <w:r>
        <w:rPr>
          <w:bCs/>
          <w:color w:val="000000"/>
          <w:sz w:val="28"/>
          <w:szCs w:val="28"/>
        </w:rPr>
        <w:t>132. pantā ir noteikta kārtība, kāda ir piemērojams  m</w:t>
      </w:r>
      <w:r w:rsidRPr="000174D5">
        <w:rPr>
          <w:bCs/>
          <w:color w:val="000000"/>
          <w:sz w:val="28"/>
          <w:szCs w:val="28"/>
        </w:rPr>
        <w:t>ājas arests</w:t>
      </w:r>
      <w:r>
        <w:rPr>
          <w:bCs/>
          <w:color w:val="000000"/>
          <w:sz w:val="28"/>
          <w:szCs w:val="28"/>
        </w:rPr>
        <w:t>. Esot</w:t>
      </w:r>
      <w:r>
        <w:rPr>
          <w:sz w:val="28"/>
          <w:szCs w:val="28"/>
        </w:rPr>
        <w:t xml:space="preserve"> mājas arestā, aizdomās turētās personas</w:t>
      </w:r>
      <w:r w:rsidRPr="00E858F8">
        <w:rPr>
          <w:sz w:val="28"/>
          <w:szCs w:val="28"/>
        </w:rPr>
        <w:t xml:space="preserve"> pienākums </w:t>
      </w:r>
      <w:r>
        <w:rPr>
          <w:sz w:val="28"/>
          <w:szCs w:val="28"/>
        </w:rPr>
        <w:t xml:space="preserve">ir </w:t>
      </w:r>
      <w:r w:rsidRPr="00E858F8">
        <w:rPr>
          <w:sz w:val="28"/>
          <w:szCs w:val="28"/>
        </w:rPr>
        <w:t>noteiktā laikā būt savā dzīves vietā, neatrasties sabiedriskās vietās un nesazināties ar attiecīgām personām.</w:t>
      </w:r>
    </w:p>
    <w:p w:rsidR="007A0BB2" w:rsidRPr="00E858F8" w:rsidRDefault="007A0BB2" w:rsidP="007A0BB2">
      <w:pPr>
        <w:ind w:firstLine="720"/>
        <w:jc w:val="both"/>
        <w:rPr>
          <w:sz w:val="28"/>
          <w:szCs w:val="28"/>
        </w:rPr>
      </w:pPr>
      <w:r w:rsidRPr="008F350C">
        <w:rPr>
          <w:sz w:val="28"/>
          <w:szCs w:val="28"/>
        </w:rPr>
        <w:t>Pirmstiesas izmeklēšanas laikā mājas arestu pēc prokurora lūguma piemēro ar pirmstiesas izmeklēšanas tiesneša lēmumu</w:t>
      </w:r>
      <w:r w:rsidRPr="00E858F8">
        <w:rPr>
          <w:sz w:val="28"/>
          <w:szCs w:val="28"/>
        </w:rPr>
        <w:t>. Jautājums par mājas aresta piemērošanu risināms sēdē, uz kuru uzaicināms prokurors, aizdomās turamais un viņa aizstāvis. Aizdomās turamā un viņa aizstāvja neierašanās bez svarīga iemesla nav šķērslis mājas aresta piemērošanai.</w:t>
      </w:r>
    </w:p>
    <w:p w:rsidR="007A0BB2" w:rsidRPr="00E858F8" w:rsidRDefault="007A0BB2" w:rsidP="007A0BB2">
      <w:pPr>
        <w:jc w:val="both"/>
        <w:rPr>
          <w:sz w:val="28"/>
          <w:szCs w:val="28"/>
        </w:rPr>
      </w:pPr>
      <w:r w:rsidRPr="008F350C">
        <w:rPr>
          <w:sz w:val="28"/>
          <w:szCs w:val="28"/>
        </w:rPr>
        <w:t>Piemērojot mājas arestu, nosakāmi šī drošības līdzekļa noteikumi.</w:t>
      </w:r>
      <w:r w:rsidRPr="00E858F8">
        <w:rPr>
          <w:sz w:val="28"/>
          <w:szCs w:val="28"/>
        </w:rPr>
        <w:t xml:space="preserve"> Aizdomās turamais jābrīdina, ka mājas aresta noteikumu neievērošanas gadījumā viņam var tikt piemērots apcietinājums.</w:t>
      </w:r>
    </w:p>
    <w:p w:rsidR="007A0BB2" w:rsidRPr="00E858F8" w:rsidRDefault="007A0BB2" w:rsidP="007A0BB2">
      <w:pPr>
        <w:ind w:firstLine="720"/>
        <w:jc w:val="both"/>
        <w:rPr>
          <w:sz w:val="28"/>
          <w:szCs w:val="28"/>
        </w:rPr>
      </w:pPr>
      <w:r w:rsidRPr="00E858F8">
        <w:rPr>
          <w:sz w:val="28"/>
          <w:szCs w:val="28"/>
        </w:rPr>
        <w:t>Mājas aresta termiņu nosaka pirmstiesas izmeklēšanas tiesnesis lēmumā par mājas aresta piemērošanu, taču to uzreiz nevar piemērot ilgāk kā uz sešiem mēnešiem. Šis termiņš ar pirmstiesas izmeklēšanas tiesneša lēmumu var tikt pagarināts par trim mēnešiem. Pagarinājumu skaits nav ierobežots. Ja lieta nodota tiesai, par mājas aresta piemērošanu vai tā termiņa pagarināšanu, pieņemot attiecīgu lēmumu, spriež tiesa, kuras pārziņā šī lieta atrodas.</w:t>
      </w:r>
    </w:p>
    <w:p w:rsidR="007A0BB2" w:rsidRPr="00E858F8" w:rsidRDefault="007A0BB2" w:rsidP="007A0BB2">
      <w:pPr>
        <w:ind w:firstLine="720"/>
        <w:jc w:val="both"/>
        <w:rPr>
          <w:sz w:val="28"/>
          <w:szCs w:val="28"/>
        </w:rPr>
      </w:pPr>
      <w:r w:rsidRPr="00E858F8">
        <w:rPr>
          <w:sz w:val="28"/>
          <w:szCs w:val="28"/>
        </w:rPr>
        <w:t>Pirmstiesas izmeklēšanas tiesneša un tiesas lēmums par mājas aresta piemērošanu, tā termiņa pagarināšanu vai atteikumu par mājas aresta piemērošanu vai tā termiņa pagarināšanu</w:t>
      </w:r>
      <w:r>
        <w:rPr>
          <w:sz w:val="28"/>
          <w:szCs w:val="28"/>
        </w:rPr>
        <w:t xml:space="preserve"> ir pārsūdzams.</w:t>
      </w:r>
    </w:p>
    <w:p w:rsidR="007A0BB2" w:rsidRDefault="007A0BB2" w:rsidP="007A0BB2">
      <w:pPr>
        <w:ind w:firstLine="720"/>
        <w:jc w:val="both"/>
        <w:rPr>
          <w:sz w:val="28"/>
          <w:szCs w:val="28"/>
        </w:rPr>
      </w:pPr>
      <w:r w:rsidRPr="00B374E4">
        <w:rPr>
          <w:sz w:val="28"/>
          <w:szCs w:val="28"/>
        </w:rPr>
        <w:t>Mājas</w:t>
      </w:r>
      <w:r w:rsidRPr="00E858F8">
        <w:rPr>
          <w:sz w:val="28"/>
          <w:szCs w:val="28"/>
        </w:rPr>
        <w:t xml:space="preserve"> aresta reglamentācija </w:t>
      </w:r>
      <w:r>
        <w:rPr>
          <w:sz w:val="28"/>
          <w:szCs w:val="28"/>
        </w:rPr>
        <w:t xml:space="preserve">Lietuvas KPK </w:t>
      </w:r>
      <w:r w:rsidRPr="00E858F8">
        <w:rPr>
          <w:sz w:val="28"/>
          <w:szCs w:val="28"/>
        </w:rPr>
        <w:t xml:space="preserve">pēc būtības un satura atšķiras no Latvijas </w:t>
      </w:r>
      <w:r>
        <w:rPr>
          <w:sz w:val="28"/>
          <w:szCs w:val="28"/>
        </w:rPr>
        <w:t>KPL 282.p., kur noteikts, ka ‘’</w:t>
      </w:r>
      <w:r w:rsidRPr="00E858F8">
        <w:rPr>
          <w:sz w:val="28"/>
          <w:szCs w:val="28"/>
        </w:rPr>
        <w:t xml:space="preserve">Mājas arests ir personas brīvības atņemšana, ko ar izmeklēšanas tiesneša lēmumu vai tiesas nolēmumu var piemērot aizdomās turētajam vai apsūdzētajam pirms galīgā nolēmuma spēkā stāšanās konkrētajā kriminālprocesā, </w:t>
      </w:r>
      <w:r w:rsidRPr="009C3FEF">
        <w:rPr>
          <w:i/>
          <w:sz w:val="28"/>
          <w:szCs w:val="28"/>
        </w:rPr>
        <w:t xml:space="preserve">ja pastāv pamats apcietinājuma piemērošanai, taču personu īpašu apstākļu dēļ nav vēlams vai nav iespējams turēt apcietinājumā. </w:t>
      </w:r>
      <w:r w:rsidRPr="009C3FEF">
        <w:rPr>
          <w:sz w:val="28"/>
          <w:szCs w:val="28"/>
        </w:rPr>
        <w:t>L</w:t>
      </w:r>
      <w:r w:rsidRPr="00E858F8">
        <w:rPr>
          <w:sz w:val="28"/>
          <w:szCs w:val="28"/>
        </w:rPr>
        <w:t xml:space="preserve">atvijā tiesu </w:t>
      </w:r>
      <w:r w:rsidRPr="00E858F8">
        <w:rPr>
          <w:sz w:val="28"/>
          <w:szCs w:val="28"/>
        </w:rPr>
        <w:lastRenderedPageBreak/>
        <w:t>praksē mājas arests tiek piemērots ļoti reti</w:t>
      </w:r>
      <w:r>
        <w:rPr>
          <w:sz w:val="28"/>
          <w:szCs w:val="28"/>
        </w:rPr>
        <w:t>, saskaņā ar</w:t>
      </w:r>
      <w:r w:rsidRPr="00E858F8">
        <w:rPr>
          <w:sz w:val="28"/>
          <w:szCs w:val="28"/>
        </w:rPr>
        <w:t xml:space="preserve"> </w:t>
      </w:r>
      <w:r w:rsidRPr="001F20F9">
        <w:rPr>
          <w:sz w:val="28"/>
          <w:szCs w:val="28"/>
        </w:rPr>
        <w:t>Tiesu administrācijas sta</w:t>
      </w:r>
      <w:r>
        <w:rPr>
          <w:sz w:val="28"/>
          <w:szCs w:val="28"/>
        </w:rPr>
        <w:t>tistikas datiem</w:t>
      </w:r>
      <w:r>
        <w:rPr>
          <w:rStyle w:val="FootnoteReference"/>
          <w:sz w:val="28"/>
          <w:szCs w:val="28"/>
        </w:rPr>
        <w:footnoteReference w:id="48"/>
      </w:r>
      <w:r>
        <w:rPr>
          <w:sz w:val="28"/>
          <w:szCs w:val="28"/>
        </w:rPr>
        <w:t>:</w:t>
      </w:r>
    </w:p>
    <w:p w:rsidR="007A0BB2" w:rsidRDefault="007A0BB2" w:rsidP="007A0BB2">
      <w:pPr>
        <w:rPr>
          <w:sz w:val="28"/>
          <w:szCs w:val="28"/>
        </w:rPr>
      </w:pPr>
      <w:r>
        <w:rPr>
          <w:sz w:val="28"/>
          <w:szCs w:val="28"/>
        </w:rPr>
        <w:t>2008.gada 1.pusgadā</w:t>
      </w:r>
    </w:p>
    <w:p w:rsidR="007A0BB2" w:rsidRDefault="007A0BB2" w:rsidP="007A0BB2">
      <w:pPr>
        <w:rPr>
          <w:sz w:val="28"/>
          <w:szCs w:val="28"/>
        </w:rPr>
      </w:pPr>
      <w:r>
        <w:rPr>
          <w:sz w:val="28"/>
          <w:szCs w:val="28"/>
        </w:rPr>
        <w:t>- mājas arests piemērots 1, pie pārsūdzības atcelts;</w:t>
      </w:r>
    </w:p>
    <w:p w:rsidR="007A0BB2" w:rsidRDefault="007A0BB2" w:rsidP="007A0BB2">
      <w:pPr>
        <w:rPr>
          <w:sz w:val="28"/>
          <w:szCs w:val="28"/>
        </w:rPr>
      </w:pPr>
      <w:r>
        <w:rPr>
          <w:sz w:val="28"/>
          <w:szCs w:val="28"/>
        </w:rPr>
        <w:t>2007.</w:t>
      </w:r>
    </w:p>
    <w:p w:rsidR="007A0BB2" w:rsidRDefault="007A0BB2" w:rsidP="007A0BB2">
      <w:pPr>
        <w:rPr>
          <w:sz w:val="28"/>
          <w:szCs w:val="28"/>
        </w:rPr>
      </w:pPr>
      <w:r>
        <w:rPr>
          <w:sz w:val="28"/>
          <w:szCs w:val="28"/>
        </w:rPr>
        <w:t>- mājas arests piemērots 2 reizes, vēlāk 1 grozīts, bet 1 atcelts;</w:t>
      </w:r>
    </w:p>
    <w:p w:rsidR="007A0BB2" w:rsidRDefault="007A0BB2" w:rsidP="007A0BB2">
      <w:pPr>
        <w:rPr>
          <w:sz w:val="28"/>
          <w:szCs w:val="28"/>
        </w:rPr>
      </w:pPr>
      <w:r>
        <w:rPr>
          <w:sz w:val="28"/>
          <w:szCs w:val="28"/>
        </w:rPr>
        <w:t>2006.</w:t>
      </w:r>
    </w:p>
    <w:p w:rsidR="007A0BB2" w:rsidRDefault="007A0BB2" w:rsidP="007A0BB2">
      <w:pPr>
        <w:rPr>
          <w:sz w:val="28"/>
          <w:szCs w:val="28"/>
        </w:rPr>
      </w:pPr>
      <w:r>
        <w:rPr>
          <w:sz w:val="28"/>
          <w:szCs w:val="28"/>
        </w:rPr>
        <w:t>- mājas arests piemērots 2 reizes, vēlāk 1 atcelts;</w:t>
      </w:r>
    </w:p>
    <w:p w:rsidR="007A0BB2" w:rsidRDefault="007A0BB2" w:rsidP="007A0BB2">
      <w:pPr>
        <w:rPr>
          <w:sz w:val="28"/>
          <w:szCs w:val="28"/>
        </w:rPr>
      </w:pPr>
      <w:r>
        <w:rPr>
          <w:sz w:val="28"/>
          <w:szCs w:val="28"/>
        </w:rPr>
        <w:t>2005.</w:t>
      </w:r>
    </w:p>
    <w:p w:rsidR="007A0BB2" w:rsidRDefault="007A0BB2" w:rsidP="007A0BB2">
      <w:pPr>
        <w:rPr>
          <w:sz w:val="28"/>
          <w:szCs w:val="28"/>
        </w:rPr>
      </w:pPr>
      <w:r>
        <w:rPr>
          <w:sz w:val="28"/>
          <w:szCs w:val="28"/>
        </w:rPr>
        <w:t>- mājas arests piemērots ir 2 reizes;</w:t>
      </w:r>
    </w:p>
    <w:p w:rsidR="007A0BB2" w:rsidRDefault="007A0BB2" w:rsidP="007A0BB2">
      <w:pPr>
        <w:rPr>
          <w:sz w:val="28"/>
          <w:szCs w:val="28"/>
        </w:rPr>
      </w:pPr>
      <w:r>
        <w:rPr>
          <w:sz w:val="28"/>
          <w:szCs w:val="28"/>
        </w:rPr>
        <w:t>2004.</w:t>
      </w:r>
    </w:p>
    <w:p w:rsidR="007A0BB2" w:rsidRDefault="007A0BB2" w:rsidP="007A0BB2">
      <w:pPr>
        <w:rPr>
          <w:b/>
          <w:sz w:val="28"/>
          <w:szCs w:val="28"/>
        </w:rPr>
      </w:pPr>
      <w:r>
        <w:rPr>
          <w:sz w:val="28"/>
          <w:szCs w:val="28"/>
        </w:rPr>
        <w:t>- mājas arests piemērots 1 reizi.</w:t>
      </w:r>
    </w:p>
    <w:p w:rsidR="007A0BB2" w:rsidRDefault="007A0BB2" w:rsidP="007A0BB2">
      <w:pPr>
        <w:ind w:firstLine="720"/>
        <w:jc w:val="both"/>
        <w:rPr>
          <w:sz w:val="28"/>
          <w:szCs w:val="28"/>
        </w:rPr>
      </w:pPr>
    </w:p>
    <w:p w:rsidR="007A0BB2" w:rsidRDefault="007A0BB2" w:rsidP="007A0BB2">
      <w:pPr>
        <w:ind w:firstLine="720"/>
        <w:jc w:val="both"/>
        <w:rPr>
          <w:sz w:val="28"/>
          <w:szCs w:val="28"/>
        </w:rPr>
      </w:pPr>
      <w:r>
        <w:rPr>
          <w:sz w:val="28"/>
          <w:szCs w:val="28"/>
        </w:rPr>
        <w:t>K</w:t>
      </w:r>
      <w:r w:rsidRPr="00E858F8">
        <w:rPr>
          <w:sz w:val="28"/>
          <w:szCs w:val="28"/>
        </w:rPr>
        <w:t xml:space="preserve">ā vienu no svarīgākajiem šķēršļiem pēc autora domām, kādēļ tas netiek piemērots ir tas, ka KPL nav </w:t>
      </w:r>
      <w:r>
        <w:rPr>
          <w:sz w:val="28"/>
          <w:szCs w:val="28"/>
        </w:rPr>
        <w:t xml:space="preserve">strikti </w:t>
      </w:r>
      <w:r w:rsidRPr="00E858F8">
        <w:rPr>
          <w:sz w:val="28"/>
          <w:szCs w:val="28"/>
        </w:rPr>
        <w:t>noregulēts jautājums, par to, kas ir jāsaprot normas piemērotājiem ietvertais pantā nosacījums, ‘’ja pastāv pamats apcietinājuma piemērošanai, taču personu īpašu apstākļu dēļ nav vēlams vai nav iespējams turēt a</w:t>
      </w:r>
      <w:r>
        <w:rPr>
          <w:sz w:val="28"/>
          <w:szCs w:val="28"/>
        </w:rPr>
        <w:t>pcietinājumā.’’ KPL nav reglamentēts</w:t>
      </w:r>
      <w:r w:rsidRPr="00E858F8">
        <w:rPr>
          <w:sz w:val="28"/>
          <w:szCs w:val="28"/>
        </w:rPr>
        <w:t xml:space="preserve">, kas ir tie īpašie apstākļi, kuru dēļ aizdomās turēto vai apsūdzēto nav vēlams vai nav iespējams turēt apcietinājumā’’. </w:t>
      </w:r>
    </w:p>
    <w:p w:rsidR="007A0BB2" w:rsidRPr="00E858F8" w:rsidRDefault="007A0BB2" w:rsidP="007A0BB2">
      <w:pPr>
        <w:ind w:firstLine="720"/>
        <w:jc w:val="both"/>
        <w:rPr>
          <w:sz w:val="28"/>
          <w:szCs w:val="28"/>
        </w:rPr>
      </w:pPr>
      <w:r w:rsidRPr="00E858F8">
        <w:rPr>
          <w:sz w:val="28"/>
          <w:szCs w:val="28"/>
        </w:rPr>
        <w:t>Autors uzskata, ja KPL paliek vecā panta redakcija, tad obligāti būtu jāuzskaita tie īpašie apstākļi piemēram, kritisks veselības stāvoklis, neiespējamība nodrošināt personu apcietinājumā ar nepieciešamiem medikamentiem, veselības stāvokļa izmeklēšanu un slimību diagnosticēšanu, rehabilitāciju; personas apgādībā esošās personas:</w:t>
      </w:r>
      <w:r>
        <w:rPr>
          <w:sz w:val="28"/>
          <w:szCs w:val="28"/>
        </w:rPr>
        <w:t xml:space="preserve"> nepilngadīgie bērni un vecvecāki</w:t>
      </w:r>
      <w:r w:rsidRPr="00E858F8">
        <w:rPr>
          <w:sz w:val="28"/>
          <w:szCs w:val="28"/>
        </w:rPr>
        <w:t>, kuru dēļ nav vēlams vai nav iespējams turēt personu apcietinājumā. Pretējā gadījumā šai normai ir deklaratīvs raksturs, kuras esamība KPL ir ļoti formāla. Kā risinājums varētu būt pārņemt no Lietuvas KPK mājas aresta reglamentāciju, kur nav atrunāts speciāls nosacījums, līdz ar to arī nepastāvētu domstarpības  normas piemērošanā praksē. Autors uzskata, ka procesa virzītājam būtu jādeleģē tādas pašas tiesības griezties pie izmeklēšanas tiesneša ar ierosinājumu piemērot ne tikai apcietinājumu, bet arī mājas arestu, nosakot piemērot noteiktus ierobežojumus. Līdz ar to izmeklēšanas tiesnesis, būtu tikai ierosinājuma vērtētājs un nevis mājas aresta piemērotājs vai aizstājējs.</w:t>
      </w:r>
    </w:p>
    <w:p w:rsidR="007A0BB2" w:rsidRPr="00E858F8" w:rsidRDefault="007A0BB2" w:rsidP="007A0BB2">
      <w:pPr>
        <w:ind w:firstLine="720"/>
        <w:jc w:val="both"/>
        <w:rPr>
          <w:bCs/>
          <w:sz w:val="28"/>
          <w:szCs w:val="28"/>
        </w:rPr>
      </w:pPr>
      <w:r w:rsidRPr="00690A6F">
        <w:rPr>
          <w:bCs/>
          <w:sz w:val="28"/>
          <w:szCs w:val="28"/>
        </w:rPr>
        <w:t xml:space="preserve">KF KPK 107.p. </w:t>
      </w:r>
      <w:r>
        <w:rPr>
          <w:bCs/>
          <w:sz w:val="28"/>
          <w:szCs w:val="28"/>
        </w:rPr>
        <w:t>ir noteikts, ka d</w:t>
      </w:r>
      <w:r w:rsidRPr="00E858F8">
        <w:rPr>
          <w:bCs/>
          <w:sz w:val="28"/>
          <w:szCs w:val="28"/>
        </w:rPr>
        <w:t>rošības līdzekļa mājas arests būtība ir tajā apstāklī, ka personai tiek ierobežota brīvība, pārvietošanās, kā arī aizliegumā tikties ar konkrētām personām, saņemt un nosūtīt korespondenci, izmantot jebkurus sakaru līdzekļus. Mājas arestu piemēro tiesa, ja pastāv drošības līdzekļa piemē</w:t>
      </w:r>
      <w:r>
        <w:rPr>
          <w:bCs/>
          <w:sz w:val="28"/>
          <w:szCs w:val="28"/>
        </w:rPr>
        <w:t>rošanas pamati.</w:t>
      </w:r>
      <w:r w:rsidRPr="00E858F8">
        <w:rPr>
          <w:bCs/>
          <w:sz w:val="28"/>
          <w:szCs w:val="28"/>
        </w:rPr>
        <w:t xml:space="preserve"> Piemērojot mājas arestu tiesa ņem vērā personas vecumu, veselības stāvokli, ģimenes </w:t>
      </w:r>
      <w:r w:rsidRPr="00E858F8">
        <w:rPr>
          <w:bCs/>
          <w:sz w:val="28"/>
          <w:szCs w:val="28"/>
        </w:rPr>
        <w:lastRenderedPageBreak/>
        <w:t>stāvokli un citus apstākļus</w:t>
      </w:r>
      <w:r>
        <w:rPr>
          <w:bCs/>
          <w:sz w:val="28"/>
          <w:szCs w:val="28"/>
        </w:rPr>
        <w:t>. A</w:t>
      </w:r>
      <w:r w:rsidRPr="00E858F8">
        <w:rPr>
          <w:bCs/>
          <w:sz w:val="28"/>
          <w:szCs w:val="28"/>
        </w:rPr>
        <w:t>r ‘’citiem apstākļiem’’ var tikt saprasts, personas vaļsirdīga vainas nožēlošana, personas personīgie nopelni valsts priekšā, sabiedrībā pazīstamu un cienījamu personu lūgumi vai galvojumi u.t.t.’’</w:t>
      </w:r>
      <w:r w:rsidRPr="00E858F8">
        <w:rPr>
          <w:rStyle w:val="FootnoteReference"/>
          <w:bCs/>
          <w:sz w:val="28"/>
          <w:szCs w:val="28"/>
        </w:rPr>
        <w:footnoteReference w:id="49"/>
      </w:r>
    </w:p>
    <w:p w:rsidR="007A0BB2" w:rsidRDefault="007A0BB2" w:rsidP="007A0BB2">
      <w:pPr>
        <w:jc w:val="both"/>
        <w:rPr>
          <w:b/>
          <w:bCs/>
          <w:sz w:val="28"/>
          <w:szCs w:val="28"/>
        </w:rPr>
      </w:pPr>
    </w:p>
    <w:p w:rsidR="007A0BB2" w:rsidRPr="000174D5" w:rsidRDefault="007A0BB2" w:rsidP="007A0BB2">
      <w:pPr>
        <w:jc w:val="both"/>
        <w:rPr>
          <w:b/>
          <w:bCs/>
          <w:sz w:val="28"/>
          <w:szCs w:val="28"/>
        </w:rPr>
      </w:pPr>
      <w:r>
        <w:rPr>
          <w:b/>
          <w:bCs/>
          <w:sz w:val="28"/>
          <w:szCs w:val="28"/>
        </w:rPr>
        <w:t xml:space="preserve">3.4. </w:t>
      </w:r>
      <w:r w:rsidRPr="000174D5">
        <w:rPr>
          <w:b/>
          <w:bCs/>
          <w:sz w:val="28"/>
          <w:szCs w:val="28"/>
        </w:rPr>
        <w:t>Dro</w:t>
      </w:r>
      <w:r>
        <w:rPr>
          <w:b/>
          <w:bCs/>
          <w:sz w:val="28"/>
          <w:szCs w:val="28"/>
        </w:rPr>
        <w:t>šības nauda</w:t>
      </w:r>
    </w:p>
    <w:p w:rsidR="007A0BB2" w:rsidRPr="00E858F8" w:rsidRDefault="007A0BB2" w:rsidP="007A0BB2">
      <w:pPr>
        <w:jc w:val="both"/>
        <w:rPr>
          <w:sz w:val="28"/>
          <w:szCs w:val="28"/>
        </w:rPr>
      </w:pPr>
    </w:p>
    <w:p w:rsidR="007A0BB2" w:rsidRPr="001A3903" w:rsidRDefault="007A0BB2" w:rsidP="007A0BB2">
      <w:pPr>
        <w:pStyle w:val="naispant"/>
        <w:spacing w:before="0" w:after="0"/>
        <w:ind w:left="0" w:firstLine="720"/>
        <w:rPr>
          <w:b w:val="0"/>
          <w:sz w:val="28"/>
          <w:szCs w:val="28"/>
          <w:lang w:val="lv-LV"/>
        </w:rPr>
      </w:pPr>
      <w:r w:rsidRPr="000174D5">
        <w:rPr>
          <w:b w:val="0"/>
          <w:sz w:val="28"/>
          <w:szCs w:val="28"/>
          <w:lang w:val="lv-LV"/>
        </w:rPr>
        <w:t xml:space="preserve">Latvijas KPL Drošības nauda ir reglamentēta 257.pantā </w:t>
      </w:r>
      <w:r>
        <w:rPr>
          <w:b w:val="0"/>
          <w:sz w:val="28"/>
          <w:szCs w:val="28"/>
          <w:lang w:val="lv-LV"/>
        </w:rPr>
        <w:t>.</w:t>
      </w:r>
      <w:r w:rsidRPr="001A3903">
        <w:rPr>
          <w:b w:val="0"/>
          <w:sz w:val="28"/>
          <w:szCs w:val="28"/>
          <w:lang w:val="lv-LV"/>
        </w:rPr>
        <w:t>Drošības nauda ir ar procesa virzītāja lēmumu noteikta naudas summa, kas nodota procesa virzītāja noteiktās kredīt</w:t>
      </w:r>
      <w:r w:rsidRPr="001A3903">
        <w:rPr>
          <w:b w:val="0"/>
          <w:sz w:val="28"/>
          <w:szCs w:val="28"/>
          <w:lang w:val="lv-LV"/>
        </w:rPr>
        <w:softHyphen/>
        <w:t>iestādes depozītā (glabāšanā), lai nodrošinātu aizdomās turētā vai apsūdzētā ierašanos pēc procesa virzītāja uzaicinājuma un citu likumā noteikto procesuālo pienākumu izpildi.</w:t>
      </w:r>
    </w:p>
    <w:p w:rsidR="007A0BB2" w:rsidRPr="00991263" w:rsidRDefault="007A0BB2" w:rsidP="007A0BB2">
      <w:pPr>
        <w:pStyle w:val="naisf"/>
        <w:spacing w:before="0" w:beforeAutospacing="0" w:after="0" w:afterAutospacing="0"/>
        <w:ind w:firstLine="720"/>
        <w:jc w:val="both"/>
        <w:rPr>
          <w:sz w:val="28"/>
          <w:szCs w:val="28"/>
          <w:lang w:val="lv-LV"/>
        </w:rPr>
      </w:pPr>
      <w:r w:rsidRPr="00991263">
        <w:rPr>
          <w:sz w:val="28"/>
          <w:szCs w:val="28"/>
          <w:lang w:val="lv-LV"/>
        </w:rPr>
        <w:t>Drošības naudas apmēru nosaka procesa virzītājs, ievērojot noziedzīga nodarījuma raksturu un ar to radīto kaitējumu, personas mantisko stāvokli, kā arī likumā paredzētā soda veidu un mēru.</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Drošības naudu var iemaksāt persona, kurai šis drošības līdzeklis tiek piemērots, kā arī jebkura cita fiziskā vai juridiskā persona. Ja drošības naudu iemaksā cita persona, procesa virzītājs informē to par konkrētā kriminālprocesa būtību, sakarā ar kuru piemērots šis drošības līdzeklis, un izskaidro sekas, kādas iestāsies, ja tas netiks ievērots.</w:t>
      </w:r>
    </w:p>
    <w:p w:rsidR="007A0BB2" w:rsidRPr="001A3903"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Par drošības naudas iemaksu tās devējs iesniedz procesa virzītājam dokumentu, kuru pievieno krimināllietai.</w:t>
      </w:r>
      <w:r>
        <w:rPr>
          <w:sz w:val="28"/>
          <w:szCs w:val="28"/>
          <w:lang w:val="lv-LV"/>
        </w:rPr>
        <w:t xml:space="preserve"> </w:t>
      </w:r>
      <w:r w:rsidRPr="001A3903">
        <w:rPr>
          <w:sz w:val="28"/>
          <w:szCs w:val="28"/>
          <w:lang w:val="lv-LV"/>
        </w:rPr>
        <w:t>Ja aizdomās turētais vai apsūdzētais nepilda procesuālos pienākumus vai izdara jaunu tīšu noziedzīgu nodarījumu, drošības nauda ar procesa virzītāja lēmumu ieskaitāma valsts budžetā, bet citos drošības līdzekļa atcelšanas vai grozīšanas gadījumos atdodama tās devējam.</w:t>
      </w:r>
    </w:p>
    <w:p w:rsidR="007A0BB2" w:rsidRPr="00E858F8" w:rsidRDefault="007A0BB2" w:rsidP="007A0BB2">
      <w:pPr>
        <w:ind w:firstLine="720"/>
        <w:jc w:val="both"/>
        <w:rPr>
          <w:sz w:val="28"/>
          <w:szCs w:val="28"/>
        </w:rPr>
      </w:pPr>
      <w:r w:rsidRPr="00E858F8">
        <w:rPr>
          <w:sz w:val="28"/>
          <w:szCs w:val="28"/>
        </w:rPr>
        <w:t>Veikt grozījumus šajā pantā ir piedāvājusi TM šādā redakcijā</w:t>
      </w:r>
      <w:r>
        <w:rPr>
          <w:sz w:val="28"/>
          <w:szCs w:val="28"/>
        </w:rPr>
        <w:t xml:space="preserve"> t.i. p</w:t>
      </w:r>
      <w:r w:rsidRPr="00E858F8">
        <w:rPr>
          <w:sz w:val="28"/>
          <w:szCs w:val="28"/>
        </w:rPr>
        <w:t xml:space="preserve">apildināt 257.panta otro daļu ar teikumu šādā redakcijā: </w:t>
      </w:r>
    </w:p>
    <w:p w:rsidR="007A0BB2" w:rsidRPr="001A3903" w:rsidRDefault="007A0BB2" w:rsidP="007A0BB2">
      <w:pPr>
        <w:jc w:val="both"/>
        <w:rPr>
          <w:bCs/>
          <w:iCs/>
          <w:sz w:val="28"/>
          <w:szCs w:val="28"/>
        </w:rPr>
      </w:pPr>
      <w:r w:rsidRPr="001A3903">
        <w:rPr>
          <w:bCs/>
          <w:iCs/>
          <w:sz w:val="28"/>
          <w:szCs w:val="28"/>
        </w:rPr>
        <w:t xml:space="preserve">“Ja procesa virzītāja </w:t>
      </w:r>
      <w:smartTag w:uri="schemas-tilde-lv/tildestengine" w:element="veidnes">
        <w:smartTagPr>
          <w:attr w:name="id" w:val="-1"/>
          <w:attr w:name="baseform" w:val="lēmums"/>
          <w:attr w:name="text" w:val="lēmums"/>
        </w:smartTagPr>
        <w:r w:rsidRPr="001A3903">
          <w:rPr>
            <w:bCs/>
            <w:iCs/>
            <w:sz w:val="28"/>
            <w:szCs w:val="28"/>
          </w:rPr>
          <w:t>lēmums</w:t>
        </w:r>
      </w:smartTag>
      <w:r w:rsidRPr="001A3903">
        <w:rPr>
          <w:bCs/>
          <w:iCs/>
          <w:sz w:val="28"/>
          <w:szCs w:val="28"/>
        </w:rPr>
        <w:t xml:space="preserve"> par drošības līdzekli pārsūdzēts,</w:t>
      </w:r>
      <w:r w:rsidRPr="001A3903">
        <w:rPr>
          <w:sz w:val="28"/>
          <w:szCs w:val="28"/>
        </w:rPr>
        <w:t xml:space="preserve"> </w:t>
      </w:r>
      <w:r w:rsidRPr="001A3903">
        <w:rPr>
          <w:bCs/>
          <w:iCs/>
          <w:sz w:val="28"/>
          <w:szCs w:val="28"/>
        </w:rPr>
        <w:t>drošības naudas apmēru var noteikt izmeklēšanas tiesnesis.”</w:t>
      </w:r>
    </w:p>
    <w:p w:rsidR="007A0BB2" w:rsidRPr="00E858F8" w:rsidRDefault="007A0BB2" w:rsidP="007A0BB2">
      <w:pPr>
        <w:ind w:firstLine="720"/>
        <w:jc w:val="both"/>
        <w:rPr>
          <w:bCs/>
          <w:sz w:val="28"/>
          <w:szCs w:val="28"/>
        </w:rPr>
      </w:pPr>
      <w:r w:rsidRPr="00E858F8">
        <w:rPr>
          <w:bCs/>
          <w:sz w:val="28"/>
          <w:szCs w:val="28"/>
        </w:rPr>
        <w:t xml:space="preserve">Autors uzskata, ka TM </w:t>
      </w:r>
      <w:r>
        <w:rPr>
          <w:bCs/>
          <w:sz w:val="28"/>
          <w:szCs w:val="28"/>
        </w:rPr>
        <w:t xml:space="preserve">piedāvātie </w:t>
      </w:r>
      <w:r w:rsidRPr="00E858F8">
        <w:rPr>
          <w:bCs/>
          <w:sz w:val="28"/>
          <w:szCs w:val="28"/>
        </w:rPr>
        <w:t xml:space="preserve">grozījumi nav atbalstāmi, </w:t>
      </w:r>
      <w:r>
        <w:rPr>
          <w:bCs/>
          <w:sz w:val="28"/>
          <w:szCs w:val="28"/>
        </w:rPr>
        <w:t>tādēļ, ka</w:t>
      </w:r>
      <w:r w:rsidRPr="00E858F8">
        <w:rPr>
          <w:bCs/>
          <w:sz w:val="28"/>
          <w:szCs w:val="28"/>
        </w:rPr>
        <w:t xml:space="preserve"> aizdomās turētajai un apsūdzētajai personai kurai tiek piemērots no procesa virzītāja puses dotais drošības līdzeklis, tiks liegta iespēja to pārsūdzēt izmeklēšanas tiesnesim, tā ignorējot tiesības uz aizstāvību. Respektīvi ar šādu grozījumu, tiks pasliktināts personas tiesiskais stāvoklis, jo pat reiz, saskaņā ar KPL 262.p., ja tiesnesis konstatē, ka procesa virzītāja lēmums nav pamatots un tas nav izpildāms, tas uzliek par pienākumu procesa virzītājam 3 darba dienu laikā grozīt piemēroto drošības līdzekli  v</w:t>
      </w:r>
      <w:r>
        <w:rPr>
          <w:bCs/>
          <w:sz w:val="28"/>
          <w:szCs w:val="28"/>
        </w:rPr>
        <w:t>ai tā noteikumus. P</w:t>
      </w:r>
      <w:r w:rsidRPr="00E858F8">
        <w:rPr>
          <w:bCs/>
          <w:sz w:val="28"/>
          <w:szCs w:val="28"/>
        </w:rPr>
        <w:t xml:space="preserve">ersonai, ja tā spēj pierādīt, ka piemērotais drošības līdzeklis nav izpildāms ir tiesības vairāk kārt </w:t>
      </w:r>
      <w:r w:rsidRPr="00E858F8">
        <w:rPr>
          <w:bCs/>
          <w:sz w:val="28"/>
          <w:szCs w:val="28"/>
        </w:rPr>
        <w:lastRenderedPageBreak/>
        <w:t>pārsūdzēt procesa virzītāja lēmumu. Tā panākot, ka tiek ievēroti arī samērīguma un taisnīguma principi.</w:t>
      </w:r>
    </w:p>
    <w:p w:rsidR="007A0BB2" w:rsidRPr="00E858F8" w:rsidRDefault="007A0BB2" w:rsidP="007A0BB2">
      <w:pPr>
        <w:ind w:firstLine="720"/>
        <w:jc w:val="both"/>
        <w:rPr>
          <w:bCs/>
          <w:sz w:val="28"/>
          <w:szCs w:val="28"/>
        </w:rPr>
      </w:pPr>
      <w:r w:rsidRPr="00E858F8">
        <w:rPr>
          <w:bCs/>
          <w:sz w:val="28"/>
          <w:szCs w:val="28"/>
        </w:rPr>
        <w:t>Likumproje</w:t>
      </w:r>
      <w:r>
        <w:rPr>
          <w:bCs/>
          <w:sz w:val="28"/>
          <w:szCs w:val="28"/>
        </w:rPr>
        <w:t>ktā TM nav devusi savu vērtējumu</w:t>
      </w:r>
      <w:r w:rsidRPr="00E858F8">
        <w:rPr>
          <w:bCs/>
          <w:sz w:val="28"/>
          <w:szCs w:val="28"/>
        </w:rPr>
        <w:t xml:space="preserve">, kā būtu iespējams pārsūdzēt izmeklēšanas tiesneša lēmumu, gadījumā, ja tiek atbalstīta TM redakcija šim pantam. Ko darīt tad, ja persona nevar izpildīt arī tiesas noteikto drošības naudu? </w:t>
      </w:r>
    </w:p>
    <w:p w:rsidR="007A0BB2" w:rsidRPr="00E858F8" w:rsidRDefault="007A0BB2" w:rsidP="007A0BB2">
      <w:pPr>
        <w:jc w:val="both"/>
        <w:rPr>
          <w:b/>
          <w:bCs/>
          <w:sz w:val="28"/>
          <w:szCs w:val="28"/>
        </w:rPr>
      </w:pPr>
      <w:r w:rsidRPr="00E858F8">
        <w:rPr>
          <w:bCs/>
          <w:sz w:val="28"/>
          <w:szCs w:val="28"/>
        </w:rPr>
        <w:t xml:space="preserve">Līdz ar to arī TM piedāvājums papildināt KPL </w:t>
      </w:r>
      <w:r w:rsidRPr="00E858F8">
        <w:rPr>
          <w:sz w:val="28"/>
          <w:szCs w:val="28"/>
        </w:rPr>
        <w:t xml:space="preserve">262.pantu- Lēmuma par drošības līdzekļa piemērošanu pārsūdzēšana </w:t>
      </w:r>
    </w:p>
    <w:p w:rsidR="007A0BB2" w:rsidRPr="00E858F8" w:rsidRDefault="007A0BB2" w:rsidP="007A0BB2">
      <w:pPr>
        <w:jc w:val="both"/>
        <w:rPr>
          <w:b/>
          <w:bCs/>
          <w:sz w:val="28"/>
          <w:szCs w:val="28"/>
        </w:rPr>
      </w:pPr>
      <w:r w:rsidRPr="00E858F8">
        <w:rPr>
          <w:bCs/>
          <w:i/>
          <w:sz w:val="28"/>
          <w:szCs w:val="28"/>
        </w:rPr>
        <w:t>ceturto daļu pēc vārda „noteikumus” ar vārdiem „vai noteikt drošības naudas apmēru”</w:t>
      </w:r>
      <w:r w:rsidRPr="00E858F8">
        <w:rPr>
          <w:bCs/>
          <w:sz w:val="28"/>
          <w:szCs w:val="28"/>
        </w:rPr>
        <w:t xml:space="preserve"> arī nav atbalstāms, jo neparedz juridisko mehānismu kā varētu pārsūdzēt izmeklēšanas tiesneša lēmumu, jo</w:t>
      </w:r>
      <w:r w:rsidRPr="00E858F8">
        <w:rPr>
          <w:sz w:val="28"/>
          <w:szCs w:val="28"/>
        </w:rPr>
        <w:t xml:space="preserve"> šī panta 5.d. ir noteikts, ka izmeklēšanas tiesneša pieņemtais lēmums nav pārsūdzams.</w:t>
      </w:r>
    </w:p>
    <w:p w:rsidR="007A0BB2" w:rsidRPr="00DE24F4" w:rsidRDefault="007A0BB2" w:rsidP="007A0BB2">
      <w:pPr>
        <w:pStyle w:val="naisf"/>
        <w:spacing w:before="0" w:beforeAutospacing="0" w:after="0" w:afterAutospacing="0"/>
        <w:jc w:val="both"/>
        <w:rPr>
          <w:sz w:val="28"/>
          <w:szCs w:val="28"/>
          <w:u w:val="single"/>
          <w:lang w:val="lv-LV"/>
        </w:rPr>
      </w:pPr>
      <w:r w:rsidRPr="00E858F8">
        <w:rPr>
          <w:sz w:val="28"/>
          <w:szCs w:val="28"/>
          <w:lang w:val="lv-LV"/>
        </w:rPr>
        <w:t xml:space="preserve"> (4) Izmeklēšanas tiesnesis ar savu lēmumu var noraidīt sūdzību vai uzdot procesa virzītājam triju darba dienu laikā grozīt piemēroto drošības līdzekli vai tā noteikumus.</w:t>
      </w:r>
    </w:p>
    <w:p w:rsidR="007A0BB2" w:rsidRDefault="007A0BB2" w:rsidP="007A0BB2">
      <w:pPr>
        <w:ind w:firstLine="720"/>
        <w:jc w:val="both"/>
        <w:rPr>
          <w:sz w:val="28"/>
          <w:szCs w:val="28"/>
        </w:rPr>
      </w:pPr>
      <w:r>
        <w:rPr>
          <w:sz w:val="28"/>
          <w:szCs w:val="28"/>
        </w:rPr>
        <w:t>‘’</w:t>
      </w:r>
      <w:r w:rsidRPr="001F20F9">
        <w:rPr>
          <w:sz w:val="28"/>
          <w:szCs w:val="28"/>
        </w:rPr>
        <w:t>Tiesu administrācijas sta</w:t>
      </w:r>
      <w:r>
        <w:rPr>
          <w:sz w:val="28"/>
          <w:szCs w:val="28"/>
        </w:rPr>
        <w:t>tistikas dati’’</w:t>
      </w:r>
      <w:r>
        <w:rPr>
          <w:rStyle w:val="FootnoteReference"/>
          <w:sz w:val="28"/>
          <w:szCs w:val="28"/>
        </w:rPr>
        <w:footnoteReference w:id="50"/>
      </w:r>
      <w:r>
        <w:rPr>
          <w:sz w:val="28"/>
          <w:szCs w:val="28"/>
        </w:rPr>
        <w:t xml:space="preserve"> norāda cik bieži tiek piemērots drošības līdzeklis –drošības nauda:</w:t>
      </w:r>
    </w:p>
    <w:p w:rsidR="007A0BB2" w:rsidRDefault="007A0BB2" w:rsidP="007A0BB2">
      <w:pPr>
        <w:rPr>
          <w:sz w:val="28"/>
          <w:szCs w:val="28"/>
        </w:rPr>
      </w:pPr>
      <w:r>
        <w:rPr>
          <w:sz w:val="28"/>
          <w:szCs w:val="28"/>
        </w:rPr>
        <w:t xml:space="preserve">2008.gada 1.pusgadā </w:t>
      </w:r>
    </w:p>
    <w:p w:rsidR="007A0BB2" w:rsidRDefault="007A0BB2" w:rsidP="007A0BB2">
      <w:pPr>
        <w:rPr>
          <w:sz w:val="28"/>
          <w:szCs w:val="28"/>
        </w:rPr>
      </w:pPr>
      <w:r>
        <w:rPr>
          <w:sz w:val="28"/>
          <w:szCs w:val="28"/>
        </w:rPr>
        <w:t xml:space="preserve">drošības nauda ir piemērota 7 reizes – 2 reizes grozīts un 2 atcelts, pie pārsūdzības 5 atstāti bez grozījumiem </w:t>
      </w:r>
    </w:p>
    <w:p w:rsidR="007A0BB2" w:rsidRDefault="007A0BB2" w:rsidP="007A0BB2">
      <w:pPr>
        <w:rPr>
          <w:sz w:val="28"/>
          <w:szCs w:val="28"/>
        </w:rPr>
      </w:pPr>
    </w:p>
    <w:p w:rsidR="007A0BB2" w:rsidRDefault="007A0BB2" w:rsidP="007A0BB2">
      <w:pPr>
        <w:rPr>
          <w:sz w:val="28"/>
          <w:szCs w:val="28"/>
        </w:rPr>
      </w:pPr>
      <w:r>
        <w:rPr>
          <w:sz w:val="28"/>
          <w:szCs w:val="28"/>
        </w:rPr>
        <w:t>2007.</w:t>
      </w:r>
    </w:p>
    <w:p w:rsidR="007A0BB2" w:rsidRDefault="007A0BB2" w:rsidP="007A0BB2">
      <w:pPr>
        <w:rPr>
          <w:sz w:val="28"/>
          <w:szCs w:val="28"/>
        </w:rPr>
      </w:pPr>
      <w:r>
        <w:rPr>
          <w:sz w:val="28"/>
          <w:szCs w:val="28"/>
        </w:rPr>
        <w:t>drošības nauda ir piemērota 3 reizes</w:t>
      </w:r>
    </w:p>
    <w:p w:rsidR="007A0BB2" w:rsidRDefault="007A0BB2" w:rsidP="007A0BB2">
      <w:pPr>
        <w:rPr>
          <w:sz w:val="28"/>
          <w:szCs w:val="28"/>
        </w:rPr>
      </w:pPr>
    </w:p>
    <w:p w:rsidR="007A0BB2" w:rsidRDefault="007A0BB2" w:rsidP="007A0BB2">
      <w:pPr>
        <w:rPr>
          <w:sz w:val="28"/>
          <w:szCs w:val="28"/>
        </w:rPr>
      </w:pPr>
      <w:r>
        <w:rPr>
          <w:sz w:val="28"/>
          <w:szCs w:val="28"/>
        </w:rPr>
        <w:t>2006.</w:t>
      </w:r>
    </w:p>
    <w:p w:rsidR="007A0BB2" w:rsidRDefault="007A0BB2" w:rsidP="007A0BB2">
      <w:pPr>
        <w:rPr>
          <w:sz w:val="28"/>
          <w:szCs w:val="28"/>
        </w:rPr>
      </w:pPr>
      <w:r>
        <w:rPr>
          <w:sz w:val="28"/>
          <w:szCs w:val="28"/>
        </w:rPr>
        <w:t>drošības nauda ir piemērota 15 reizes, pie pārsūdzības 9 atstāti bez grozījumiem un 6 atcelti</w:t>
      </w:r>
    </w:p>
    <w:p w:rsidR="007A0BB2" w:rsidRDefault="007A0BB2" w:rsidP="007A0BB2">
      <w:pPr>
        <w:rPr>
          <w:sz w:val="28"/>
          <w:szCs w:val="28"/>
        </w:rPr>
      </w:pPr>
    </w:p>
    <w:p w:rsidR="007A0BB2" w:rsidRDefault="007A0BB2" w:rsidP="007A0BB2">
      <w:pPr>
        <w:rPr>
          <w:sz w:val="28"/>
          <w:szCs w:val="28"/>
        </w:rPr>
      </w:pPr>
      <w:r>
        <w:rPr>
          <w:sz w:val="28"/>
          <w:szCs w:val="28"/>
        </w:rPr>
        <w:t>2005.</w:t>
      </w:r>
    </w:p>
    <w:p w:rsidR="007A0BB2" w:rsidRDefault="007A0BB2" w:rsidP="007A0BB2">
      <w:pPr>
        <w:rPr>
          <w:sz w:val="28"/>
          <w:szCs w:val="28"/>
        </w:rPr>
      </w:pPr>
      <w:r>
        <w:rPr>
          <w:sz w:val="28"/>
          <w:szCs w:val="28"/>
        </w:rPr>
        <w:t>drošības nauda ir piemērota 2 reizes</w:t>
      </w:r>
    </w:p>
    <w:p w:rsidR="007A0BB2" w:rsidRDefault="007A0BB2" w:rsidP="007A0BB2">
      <w:pPr>
        <w:rPr>
          <w:sz w:val="28"/>
          <w:szCs w:val="28"/>
        </w:rPr>
      </w:pPr>
    </w:p>
    <w:p w:rsidR="007A0BB2" w:rsidRDefault="007A0BB2" w:rsidP="007A0BB2">
      <w:pPr>
        <w:rPr>
          <w:sz w:val="28"/>
          <w:szCs w:val="28"/>
        </w:rPr>
      </w:pPr>
      <w:r>
        <w:rPr>
          <w:sz w:val="28"/>
          <w:szCs w:val="28"/>
        </w:rPr>
        <w:t>2004.</w:t>
      </w:r>
    </w:p>
    <w:p w:rsidR="007A0BB2" w:rsidRPr="00EB0853" w:rsidRDefault="007A0BB2" w:rsidP="007A0BB2">
      <w:pPr>
        <w:rPr>
          <w:sz w:val="28"/>
          <w:szCs w:val="28"/>
        </w:rPr>
      </w:pPr>
      <w:r>
        <w:rPr>
          <w:sz w:val="28"/>
          <w:szCs w:val="28"/>
        </w:rPr>
        <w:t>drošības nauda ir piemērota 2 reizes</w:t>
      </w:r>
    </w:p>
    <w:p w:rsidR="007A0BB2" w:rsidRPr="00E858F8" w:rsidRDefault="007A0BB2" w:rsidP="007A0BB2">
      <w:pPr>
        <w:rPr>
          <w:sz w:val="28"/>
          <w:szCs w:val="28"/>
        </w:rPr>
      </w:pPr>
    </w:p>
    <w:p w:rsidR="007A0BB2" w:rsidRDefault="007A0BB2" w:rsidP="007A0BB2">
      <w:pPr>
        <w:ind w:firstLine="720"/>
        <w:jc w:val="both"/>
        <w:rPr>
          <w:sz w:val="28"/>
          <w:szCs w:val="28"/>
        </w:rPr>
      </w:pPr>
      <w:r>
        <w:rPr>
          <w:sz w:val="28"/>
          <w:szCs w:val="28"/>
        </w:rPr>
        <w:t xml:space="preserve">Savukārt </w:t>
      </w:r>
      <w:r w:rsidRPr="00EB0853">
        <w:rPr>
          <w:sz w:val="28"/>
          <w:szCs w:val="28"/>
        </w:rPr>
        <w:t xml:space="preserve">Lietuvas KPK </w:t>
      </w:r>
      <w:r>
        <w:rPr>
          <w:bCs/>
          <w:color w:val="000000"/>
          <w:sz w:val="28"/>
          <w:szCs w:val="28"/>
        </w:rPr>
        <w:t>133. pantā  d</w:t>
      </w:r>
      <w:r w:rsidRPr="00EB0853">
        <w:rPr>
          <w:bCs/>
          <w:color w:val="000000"/>
          <w:sz w:val="28"/>
          <w:szCs w:val="28"/>
        </w:rPr>
        <w:t xml:space="preserve">rošības nauda </w:t>
      </w:r>
      <w:r>
        <w:rPr>
          <w:bCs/>
          <w:color w:val="000000"/>
          <w:sz w:val="28"/>
          <w:szCs w:val="28"/>
        </w:rPr>
        <w:t xml:space="preserve">ir definēta kā </w:t>
      </w:r>
      <w:r>
        <w:rPr>
          <w:sz w:val="28"/>
          <w:szCs w:val="28"/>
        </w:rPr>
        <w:t xml:space="preserve"> </w:t>
      </w:r>
      <w:r w:rsidRPr="00E858F8">
        <w:rPr>
          <w:sz w:val="28"/>
          <w:szCs w:val="28"/>
        </w:rPr>
        <w:t>naudas iemaksa, kuru prokuratūras vai tiesas depozīta rēķinā iemaksā aizdomās turamais, viņa ģimenes locekļi vai radinieki, kā arī citas personas</w:t>
      </w:r>
      <w:r>
        <w:rPr>
          <w:sz w:val="28"/>
          <w:szCs w:val="28"/>
        </w:rPr>
        <w:t xml:space="preserve">, uzņēmumi vai organizācijas. </w:t>
      </w:r>
      <w:r w:rsidRPr="00E858F8">
        <w:rPr>
          <w:sz w:val="28"/>
          <w:szCs w:val="28"/>
        </w:rPr>
        <w:t xml:space="preserve">Drošības naudas lielumu nosaka šo drošības līdzekli piemērojošā amatpersona vai tiesa, ņemot vērā noziedzīgo darbību, aizdomās turamajam paredzamā soda apmēru, aizdomās turamā un drošības naudas devēja materiālo stāvokli un viņu </w:t>
      </w:r>
      <w:r w:rsidRPr="00E858F8">
        <w:rPr>
          <w:sz w:val="28"/>
          <w:szCs w:val="28"/>
        </w:rPr>
        <w:lastRenderedPageBreak/>
        <w:t>personības.</w:t>
      </w:r>
      <w:r>
        <w:rPr>
          <w:sz w:val="28"/>
          <w:szCs w:val="28"/>
        </w:rPr>
        <w:t xml:space="preserve"> </w:t>
      </w:r>
      <w:r w:rsidRPr="00E858F8">
        <w:rPr>
          <w:sz w:val="28"/>
          <w:szCs w:val="28"/>
        </w:rPr>
        <w:t>Drošības naudu pieņemot, tās devējam jāpaskaidro viņa kā drošības naudas devēja atbildība.</w:t>
      </w:r>
      <w:r>
        <w:rPr>
          <w:sz w:val="28"/>
          <w:szCs w:val="28"/>
        </w:rPr>
        <w:t xml:space="preserve"> </w:t>
      </w:r>
    </w:p>
    <w:p w:rsidR="007A0BB2" w:rsidRDefault="007A0BB2" w:rsidP="007A0BB2">
      <w:pPr>
        <w:ind w:firstLine="720"/>
        <w:jc w:val="both"/>
        <w:rPr>
          <w:sz w:val="28"/>
          <w:szCs w:val="28"/>
        </w:rPr>
      </w:pPr>
      <w:r w:rsidRPr="00E858F8">
        <w:rPr>
          <w:sz w:val="28"/>
          <w:szCs w:val="28"/>
        </w:rPr>
        <w:t xml:space="preserve">Lēmumā vai spriedumā par drošības līdzekļa – drošības naudas piemērošanu jānorāda, ka aizdomās turamajam ir paskaidrots viņa pienākums, saņemot uzaicinājumu, ierasties pie pirmstiesas izmeklēšanas amatpersonas, prokurora, tiesneša vai tiesā, netraucēt procesa gaitai, neveikt jaunas noziedzīgas darbības un ka viņš apsola šos pienākumus izpildīt, un ka drošības naudas devējs – brīdināts, ka, aizdomās turamajam šos pienākumus nepildot, drošības nauda pāries valsts ziņā. Bez tam, lēmumā vai spriedumā jānorāda, kādā bankas iestādē aizdomās turamais vai drošības naudas iemaksātājs samaksāja noteiktā lieluma naudas summu, un jānorāda iemaksas dokumenta (kvīts) numurs. Iemaksas dokuments (kvīts) pievienojams krimināllietai. </w:t>
      </w:r>
    </w:p>
    <w:p w:rsidR="007A0BB2" w:rsidRPr="00E858F8" w:rsidRDefault="007A0BB2" w:rsidP="007A0BB2">
      <w:pPr>
        <w:ind w:firstLine="720"/>
        <w:jc w:val="both"/>
        <w:rPr>
          <w:sz w:val="28"/>
          <w:szCs w:val="28"/>
        </w:rPr>
      </w:pPr>
      <w:r w:rsidRPr="00E858F8">
        <w:rPr>
          <w:sz w:val="28"/>
          <w:szCs w:val="28"/>
        </w:rPr>
        <w:t>Aizdomās turamajam un drošības naudas devējam pret parakstu izsniedzami lēmuma vai sprieduma noraksts par drošības līdzekļa – drošības naudas piemērošanu.</w:t>
      </w:r>
    </w:p>
    <w:p w:rsidR="007A0BB2" w:rsidRPr="00E858F8" w:rsidRDefault="007A0BB2" w:rsidP="007A0BB2">
      <w:pPr>
        <w:ind w:firstLine="720"/>
        <w:jc w:val="both"/>
        <w:rPr>
          <w:sz w:val="28"/>
          <w:szCs w:val="28"/>
        </w:rPr>
      </w:pPr>
      <w:r w:rsidRPr="00E858F8">
        <w:rPr>
          <w:sz w:val="28"/>
          <w:szCs w:val="28"/>
        </w:rPr>
        <w:t>Ja aizdomās turamais pārkāpj drošības līdzekli – drošības naudu, tiklīdz tam ir iemesls, viņam kā drošības līdzeklis piemērojams apcietinājums, un drošības nauda pāriet valstij. Saistībā ar to, ka kā drošības nauda iemaksātā naudas summa pāriet valstij, jāpieņem lēmums vai spriedums vai arī tas jāatzīmē sprieduma rezolūcijas daļā. Prokurora lēmums var tikt pārsūdzēts pirmstiesas izmeklēšanas tiesnesim, un tiesneša vai tiesas lēmums – augstākai tiesai piecu dienu laikā no paziņojuma par šāda lēmuma vai sprieduma pieņemšanu saņemšanas dienas.</w:t>
      </w:r>
    </w:p>
    <w:p w:rsidR="007A0BB2" w:rsidRPr="00E858F8" w:rsidRDefault="007A0BB2" w:rsidP="007A0BB2">
      <w:pPr>
        <w:ind w:firstLine="720"/>
        <w:jc w:val="both"/>
        <w:rPr>
          <w:b/>
          <w:bCs/>
          <w:color w:val="000000"/>
          <w:sz w:val="28"/>
          <w:szCs w:val="28"/>
        </w:rPr>
      </w:pPr>
      <w:r>
        <w:rPr>
          <w:sz w:val="28"/>
          <w:szCs w:val="28"/>
        </w:rPr>
        <w:t xml:space="preserve">Izanalizējot Lietuvas un Latvijas normas jāsecina, ka </w:t>
      </w:r>
      <w:r w:rsidRPr="00E858F8">
        <w:rPr>
          <w:sz w:val="28"/>
          <w:szCs w:val="28"/>
        </w:rPr>
        <w:t xml:space="preserve">regulējums </w:t>
      </w:r>
      <w:r>
        <w:rPr>
          <w:sz w:val="28"/>
          <w:szCs w:val="28"/>
        </w:rPr>
        <w:t>būtiski neatšķiras pēc būtības un</w:t>
      </w:r>
      <w:r w:rsidRPr="00E858F8">
        <w:rPr>
          <w:sz w:val="28"/>
          <w:szCs w:val="28"/>
        </w:rPr>
        <w:t xml:space="preserve"> satura.</w:t>
      </w:r>
    </w:p>
    <w:p w:rsidR="007A0BB2" w:rsidRPr="00E858F8" w:rsidRDefault="007A0BB2" w:rsidP="007A0BB2">
      <w:pPr>
        <w:pStyle w:val="naisf"/>
        <w:spacing w:before="0" w:beforeAutospacing="0" w:after="0" w:afterAutospacing="0"/>
        <w:ind w:firstLine="720"/>
        <w:jc w:val="both"/>
        <w:rPr>
          <w:sz w:val="28"/>
          <w:szCs w:val="28"/>
          <w:lang w:val="lv-LV"/>
        </w:rPr>
      </w:pPr>
      <w:r>
        <w:rPr>
          <w:sz w:val="28"/>
          <w:szCs w:val="28"/>
          <w:lang w:val="lv-LV"/>
        </w:rPr>
        <w:t xml:space="preserve">Praksē starp kriminālprocesā iesaistītajām pusēm pastāv strīds: </w:t>
      </w:r>
      <w:r w:rsidRPr="000174D5">
        <w:rPr>
          <w:sz w:val="28"/>
          <w:szCs w:val="28"/>
          <w:lang w:val="lv-LV"/>
        </w:rPr>
        <w:t xml:space="preserve">Vai izmeklēšanas tiesnesim, saskaņā ar KPL 41.p.1.d.3.punktu un 262.p.2. un 3.d. ir tiesības vērtēt procesa virzītāja pieņemto lēmumu, skatot personas sūdzību, kurai nav izpildāmi drošības līdzekļa noteikumi? </w:t>
      </w:r>
      <w:r>
        <w:rPr>
          <w:sz w:val="28"/>
          <w:szCs w:val="28"/>
          <w:lang w:val="lv-LV"/>
        </w:rPr>
        <w:t>Autors vēlas vērst uzmanību</w:t>
      </w:r>
      <w:r w:rsidRPr="00E858F8">
        <w:rPr>
          <w:sz w:val="28"/>
          <w:szCs w:val="28"/>
          <w:lang w:val="lv-LV"/>
        </w:rPr>
        <w:t xml:space="preserve"> uz tiesiskām probl</w:t>
      </w:r>
      <w:r>
        <w:rPr>
          <w:sz w:val="28"/>
          <w:szCs w:val="28"/>
          <w:lang w:val="lv-LV"/>
        </w:rPr>
        <w:t>ēmām</w:t>
      </w:r>
      <w:r w:rsidRPr="00E858F8">
        <w:rPr>
          <w:sz w:val="28"/>
          <w:szCs w:val="28"/>
          <w:lang w:val="lv-LV"/>
        </w:rPr>
        <w:t xml:space="preserve">, kas rodas praksē piemērojot KPL 257.p. </w:t>
      </w:r>
      <w:r>
        <w:rPr>
          <w:sz w:val="28"/>
          <w:szCs w:val="28"/>
          <w:lang w:val="lv-LV"/>
        </w:rPr>
        <w:t>Nolūkā atspoguļot kriminālprocesā iesaistīto personu viedokļus un atklāt juridiskās nianses, darbā</w:t>
      </w:r>
      <w:r w:rsidRPr="00E858F8">
        <w:rPr>
          <w:sz w:val="28"/>
          <w:szCs w:val="28"/>
          <w:lang w:val="lv-LV"/>
        </w:rPr>
        <w:t xml:space="preserve"> tiks analizēti </w:t>
      </w:r>
      <w:r>
        <w:rPr>
          <w:sz w:val="28"/>
          <w:szCs w:val="28"/>
          <w:lang w:val="lv-LV"/>
        </w:rPr>
        <w:t xml:space="preserve">‘’izmeklēšanas tiesneša, procesa virzītāja </w:t>
      </w:r>
      <w:r w:rsidRPr="00E858F8">
        <w:rPr>
          <w:sz w:val="28"/>
          <w:szCs w:val="28"/>
          <w:lang w:val="lv-LV"/>
        </w:rPr>
        <w:t>pieņ</w:t>
      </w:r>
      <w:r>
        <w:rPr>
          <w:sz w:val="28"/>
          <w:szCs w:val="28"/>
          <w:lang w:val="lv-LV"/>
        </w:rPr>
        <w:t>emtie lēmumi un citi</w:t>
      </w:r>
      <w:r w:rsidRPr="00E858F8">
        <w:rPr>
          <w:sz w:val="28"/>
          <w:szCs w:val="28"/>
          <w:lang w:val="lv-LV"/>
        </w:rPr>
        <w:t xml:space="preserve"> dokumenti</w:t>
      </w:r>
      <w:r>
        <w:rPr>
          <w:sz w:val="28"/>
          <w:szCs w:val="28"/>
          <w:lang w:val="lv-LV"/>
        </w:rPr>
        <w:t xml:space="preserve"> ‘’</w:t>
      </w:r>
      <w:r>
        <w:rPr>
          <w:rStyle w:val="FootnoteReference"/>
          <w:sz w:val="28"/>
          <w:szCs w:val="28"/>
          <w:lang w:val="lv-LV"/>
        </w:rPr>
        <w:footnoteReference w:id="51"/>
      </w:r>
      <w:r w:rsidRPr="00E858F8">
        <w:rPr>
          <w:sz w:val="28"/>
          <w:szCs w:val="28"/>
          <w:lang w:val="lv-LV"/>
        </w:rPr>
        <w:t>:</w:t>
      </w:r>
    </w:p>
    <w:p w:rsidR="007A0BB2" w:rsidRPr="00E858F8" w:rsidRDefault="007A0BB2" w:rsidP="007A0BB2">
      <w:pPr>
        <w:pStyle w:val="naisf"/>
        <w:spacing w:before="0" w:beforeAutospacing="0" w:after="0" w:afterAutospacing="0"/>
        <w:ind w:firstLine="720"/>
        <w:jc w:val="both"/>
        <w:rPr>
          <w:sz w:val="28"/>
          <w:szCs w:val="28"/>
          <w:lang w:val="lv-LV"/>
        </w:rPr>
      </w:pPr>
      <w:r>
        <w:rPr>
          <w:sz w:val="28"/>
          <w:szCs w:val="28"/>
          <w:lang w:val="lv-LV"/>
        </w:rPr>
        <w:t xml:space="preserve">Ar </w:t>
      </w:r>
      <w:r w:rsidRPr="00E858F8">
        <w:rPr>
          <w:sz w:val="28"/>
          <w:szCs w:val="28"/>
          <w:lang w:val="lv-LV"/>
        </w:rPr>
        <w:t>proc</w:t>
      </w:r>
      <w:r>
        <w:rPr>
          <w:sz w:val="28"/>
          <w:szCs w:val="28"/>
          <w:lang w:val="lv-LV"/>
        </w:rPr>
        <w:t>esa virzītāja 20.07.2006. lēmumu</w:t>
      </w:r>
      <w:r w:rsidRPr="00E858F8">
        <w:rPr>
          <w:sz w:val="28"/>
          <w:szCs w:val="28"/>
          <w:lang w:val="lv-LV"/>
        </w:rPr>
        <w:t xml:space="preserve"> </w:t>
      </w:r>
      <w:r>
        <w:rPr>
          <w:sz w:val="28"/>
          <w:szCs w:val="28"/>
          <w:lang w:val="lv-LV"/>
        </w:rPr>
        <w:t>apsūdzētajam A.</w:t>
      </w:r>
      <w:r w:rsidRPr="00E858F8">
        <w:rPr>
          <w:sz w:val="28"/>
          <w:szCs w:val="28"/>
          <w:lang w:val="lv-LV"/>
        </w:rPr>
        <w:t xml:space="preserve"> ir nolemts piemērot drošības naudu 1 000 000 LVL apmērā un kā papildus drošības līdzeklis – aizliegums izbraukt </w:t>
      </w:r>
      <w:r>
        <w:rPr>
          <w:sz w:val="28"/>
          <w:szCs w:val="28"/>
          <w:lang w:val="lv-LV"/>
        </w:rPr>
        <w:t xml:space="preserve">no valsts. </w:t>
      </w:r>
      <w:r w:rsidRPr="00E858F8">
        <w:rPr>
          <w:sz w:val="28"/>
          <w:szCs w:val="28"/>
          <w:lang w:val="lv-LV"/>
        </w:rPr>
        <w:t>Par procesa virzītāja lēmumu tika iesniegta sūdzība izmeklēšanas tiesnesi</w:t>
      </w:r>
      <w:r>
        <w:rPr>
          <w:sz w:val="28"/>
          <w:szCs w:val="28"/>
          <w:lang w:val="lv-LV"/>
        </w:rPr>
        <w:t>m</w:t>
      </w:r>
      <w:r w:rsidRPr="00E858F8">
        <w:rPr>
          <w:sz w:val="28"/>
          <w:szCs w:val="28"/>
          <w:lang w:val="lv-LV"/>
        </w:rPr>
        <w:t>, norādot apstākļus, kādēļ nav izpildāms drošības līdzeklis – drošības nauda.</w:t>
      </w:r>
    </w:p>
    <w:p w:rsidR="007A0BB2" w:rsidRPr="00E858F8" w:rsidRDefault="007A0BB2" w:rsidP="007A0BB2">
      <w:pPr>
        <w:pStyle w:val="naisf"/>
        <w:spacing w:before="0" w:beforeAutospacing="0" w:after="0" w:afterAutospacing="0"/>
        <w:jc w:val="both"/>
        <w:rPr>
          <w:sz w:val="28"/>
          <w:szCs w:val="28"/>
          <w:lang w:val="lv-LV"/>
        </w:rPr>
      </w:pPr>
      <w:r w:rsidRPr="00E858F8">
        <w:rPr>
          <w:sz w:val="28"/>
          <w:szCs w:val="28"/>
          <w:lang w:val="lv-LV"/>
        </w:rPr>
        <w:lastRenderedPageBreak/>
        <w:t>28.07.2006. Centra ra</w:t>
      </w:r>
      <w:r>
        <w:rPr>
          <w:sz w:val="28"/>
          <w:szCs w:val="28"/>
          <w:lang w:val="lv-LV"/>
        </w:rPr>
        <w:t>jona izmeklēšanas tiesnesis I.</w:t>
      </w:r>
      <w:r w:rsidRPr="00E858F8">
        <w:rPr>
          <w:sz w:val="28"/>
          <w:szCs w:val="28"/>
          <w:lang w:val="lv-LV"/>
        </w:rPr>
        <w:t xml:space="preserve"> savā lēmumā konstatēja, ka sūdzība ir pamatota un apmierināma. Tiesnesis norādīja, ka ‘</w:t>
      </w:r>
      <w:r>
        <w:rPr>
          <w:sz w:val="28"/>
          <w:szCs w:val="28"/>
          <w:lang w:val="lv-LV"/>
        </w:rPr>
        <w:t>’ procesa virzītājs nosakot A.</w:t>
      </w:r>
      <w:r w:rsidRPr="00E858F8">
        <w:rPr>
          <w:sz w:val="28"/>
          <w:szCs w:val="28"/>
          <w:lang w:val="lv-LV"/>
        </w:rPr>
        <w:t xml:space="preserve"> drošības naudas apmēru 1 000 000 LVL, lēmumā nav norādījis likumā paredzēto pamatojumu tieši šādam drošības naudas apmēram, drošības naudas piemērošanas pamatojumu, kas noteikts KPL 257.p.1.d., tas ir, ka tāds drošības līdzeklis tiek noteikts, lai nodrošinātu apsūdzētā ierašanos pēc procesa virzītāja uzaicinājuma un citu likumā noteikto procesuālo pienākumu izpildei.</w:t>
      </w:r>
    </w:p>
    <w:p w:rsidR="007A0BB2" w:rsidRPr="00E858F8" w:rsidRDefault="007A0BB2" w:rsidP="007A0BB2">
      <w:pPr>
        <w:pStyle w:val="naisf"/>
        <w:spacing w:before="0" w:beforeAutospacing="0" w:after="0" w:afterAutospacing="0"/>
        <w:jc w:val="both"/>
        <w:rPr>
          <w:sz w:val="28"/>
          <w:szCs w:val="28"/>
          <w:lang w:val="lv-LV"/>
        </w:rPr>
      </w:pPr>
      <w:r>
        <w:rPr>
          <w:sz w:val="28"/>
          <w:szCs w:val="28"/>
          <w:lang w:val="lv-LV"/>
        </w:rPr>
        <w:t>Tiesa norāda, ka lēmumā nav norādīts A.</w:t>
      </w:r>
      <w:r w:rsidRPr="00E858F8">
        <w:rPr>
          <w:sz w:val="28"/>
          <w:szCs w:val="28"/>
          <w:lang w:val="lv-LV"/>
        </w:rPr>
        <w:t xml:space="preserve"> mantas stāvokļa apmērs un to pamatojošie pierādījumi, līdz ar ko nevar uzskatīt, ka ir izvērtēts piemērotās drošības naudas apmēra </w:t>
      </w:r>
      <w:r w:rsidRPr="00E858F8">
        <w:rPr>
          <w:i/>
          <w:sz w:val="28"/>
          <w:szCs w:val="28"/>
          <w:lang w:val="lv-LV"/>
        </w:rPr>
        <w:t xml:space="preserve">samērīgums </w:t>
      </w:r>
      <w:r>
        <w:rPr>
          <w:sz w:val="28"/>
          <w:szCs w:val="28"/>
          <w:lang w:val="lv-LV"/>
        </w:rPr>
        <w:t>ar apsūdzētā A.</w:t>
      </w:r>
      <w:r w:rsidRPr="00E858F8">
        <w:rPr>
          <w:sz w:val="28"/>
          <w:szCs w:val="28"/>
          <w:lang w:val="lv-LV"/>
        </w:rPr>
        <w:t xml:space="preserve"> mantas stāvokli.</w:t>
      </w:r>
    </w:p>
    <w:p w:rsidR="007A0BB2" w:rsidRPr="00E858F8" w:rsidRDefault="007A0BB2" w:rsidP="007A0BB2">
      <w:pPr>
        <w:pStyle w:val="naisf"/>
        <w:spacing w:before="0" w:beforeAutospacing="0" w:after="0" w:afterAutospacing="0"/>
        <w:jc w:val="both"/>
        <w:rPr>
          <w:sz w:val="28"/>
          <w:szCs w:val="28"/>
          <w:lang w:val="lv-LV"/>
        </w:rPr>
      </w:pPr>
      <w:r w:rsidRPr="00E858F8">
        <w:rPr>
          <w:sz w:val="28"/>
          <w:szCs w:val="28"/>
          <w:lang w:val="lv-LV"/>
        </w:rPr>
        <w:tab/>
        <w:t xml:space="preserve">Ievērojot KPL 257.p.2.d. nosacījumus nav pietiekama norāde tikai uz noziedzīga nodarījuma raksturu un ar to radīto kaitējumu, noziedzīgo darbību rezultātā iegūtās mantas apjomu (lēmumā nav norādīts kāds tas ir un to pamatojošie pierādījumi), noteiktās drošības naudas apmēra </w:t>
      </w:r>
      <w:r w:rsidRPr="00E858F8">
        <w:rPr>
          <w:i/>
          <w:sz w:val="28"/>
          <w:szCs w:val="28"/>
          <w:lang w:val="lv-LV"/>
        </w:rPr>
        <w:t>samērīgumu</w:t>
      </w:r>
      <w:r w:rsidRPr="00E858F8">
        <w:rPr>
          <w:sz w:val="28"/>
          <w:szCs w:val="28"/>
          <w:lang w:val="lv-LV"/>
        </w:rPr>
        <w:t xml:space="preserve"> ar radīto kaitējumu.</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Drošības līdzekļa mērķis ir nodrošināt procesuālo pienākumu izpildi un to nosakot jānorāda drošības līdzekļa piemērošanas pamats – kāda ir konkrētas personas pretdarbība kriminālprocesa mērķa sasniegšanai konkrētajā procesā vai atsevišķas procesuālās darbības veikšanai, savu procesuālo pienākumu nepildīšana vai nepienācīga pildīšana, kā to paredz KPL 241.p.1.d.</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Bez tam procesa virzītājam arī jānovērtē personas iespējas izpildīt drošības līdzekļa noteikumus, saskaņā ar KPL 262.p.2.d. Ņemot vērā augstāk minēto</w:t>
      </w:r>
      <w:r>
        <w:rPr>
          <w:sz w:val="28"/>
          <w:szCs w:val="28"/>
          <w:lang w:val="lv-LV"/>
        </w:rPr>
        <w:t>,</w:t>
      </w:r>
      <w:r w:rsidRPr="00E858F8">
        <w:rPr>
          <w:sz w:val="28"/>
          <w:szCs w:val="28"/>
          <w:lang w:val="lv-LV"/>
        </w:rPr>
        <w:t xml:space="preserve"> tiesa nolēma uzdot procesa virzītājam trīs darba dienu laikā grozīt </w:t>
      </w:r>
      <w:r>
        <w:rPr>
          <w:sz w:val="28"/>
          <w:szCs w:val="28"/>
          <w:lang w:val="lv-LV"/>
        </w:rPr>
        <w:t>20.07.2006. lēmumu daļā par A.</w:t>
      </w:r>
      <w:r w:rsidRPr="00E858F8">
        <w:rPr>
          <w:sz w:val="28"/>
          <w:szCs w:val="28"/>
          <w:lang w:val="lv-LV"/>
        </w:rPr>
        <w:t xml:space="preserve"> piemēroto drošības naudas apmēra noteikumus</w:t>
      </w:r>
      <w:r>
        <w:rPr>
          <w:sz w:val="28"/>
          <w:szCs w:val="28"/>
          <w:lang w:val="lv-LV"/>
        </w:rPr>
        <w:t>.’’</w:t>
      </w:r>
    </w:p>
    <w:p w:rsidR="007A0BB2" w:rsidRPr="00E858F8" w:rsidRDefault="007A0BB2" w:rsidP="007A0BB2">
      <w:pPr>
        <w:pStyle w:val="naisf"/>
        <w:spacing w:before="0" w:beforeAutospacing="0" w:after="0" w:afterAutospacing="0"/>
        <w:jc w:val="both"/>
        <w:rPr>
          <w:sz w:val="28"/>
          <w:szCs w:val="28"/>
          <w:lang w:val="lv-LV"/>
        </w:rPr>
      </w:pPr>
      <w:r w:rsidRPr="00E858F8">
        <w:rPr>
          <w:sz w:val="28"/>
          <w:szCs w:val="28"/>
          <w:lang w:val="lv-LV"/>
        </w:rPr>
        <w:tab/>
        <w:t xml:space="preserve">01.08.2006. procesa virzītājs pieņēma lēmumu ar kuru tika grozīta drošības naudas summa 891 284 LVL. Šis lēmums tika </w:t>
      </w:r>
      <w:r>
        <w:rPr>
          <w:sz w:val="28"/>
          <w:szCs w:val="28"/>
          <w:lang w:val="lv-LV"/>
        </w:rPr>
        <w:t xml:space="preserve">arī </w:t>
      </w:r>
      <w:r w:rsidRPr="00E858F8">
        <w:rPr>
          <w:sz w:val="28"/>
          <w:szCs w:val="28"/>
          <w:lang w:val="lv-LV"/>
        </w:rPr>
        <w:t>pārsūdzēts no apsūdzētā puses kā neizpildāms.</w:t>
      </w:r>
    </w:p>
    <w:p w:rsidR="007A0BB2" w:rsidRPr="00E858F8" w:rsidRDefault="007A0BB2" w:rsidP="007A0BB2">
      <w:pPr>
        <w:pStyle w:val="naisf"/>
        <w:spacing w:before="0" w:beforeAutospacing="0" w:after="0" w:afterAutospacing="0"/>
        <w:ind w:firstLine="720"/>
        <w:jc w:val="both"/>
        <w:rPr>
          <w:sz w:val="28"/>
          <w:szCs w:val="28"/>
          <w:lang w:val="lv-LV"/>
        </w:rPr>
      </w:pPr>
      <w:r>
        <w:rPr>
          <w:sz w:val="28"/>
          <w:szCs w:val="28"/>
          <w:lang w:val="lv-LV"/>
        </w:rPr>
        <w:t xml:space="preserve">Skatot sūdzību </w:t>
      </w:r>
      <w:r w:rsidRPr="00E858F8">
        <w:rPr>
          <w:sz w:val="28"/>
          <w:szCs w:val="28"/>
          <w:lang w:val="lv-LV"/>
        </w:rPr>
        <w:t>14.08.2006. Centra ra</w:t>
      </w:r>
      <w:r>
        <w:rPr>
          <w:sz w:val="28"/>
          <w:szCs w:val="28"/>
          <w:lang w:val="lv-LV"/>
        </w:rPr>
        <w:t>jona tiesas izmeklēšanas tiesnesis M.</w:t>
      </w:r>
      <w:r w:rsidRPr="00E858F8">
        <w:rPr>
          <w:sz w:val="28"/>
          <w:szCs w:val="28"/>
          <w:lang w:val="lv-LV"/>
        </w:rPr>
        <w:t xml:space="preserve"> se</w:t>
      </w:r>
      <w:r>
        <w:rPr>
          <w:sz w:val="28"/>
          <w:szCs w:val="28"/>
          <w:lang w:val="lv-LV"/>
        </w:rPr>
        <w:t>cina, ka sūdzība ir apmierināma</w:t>
      </w:r>
      <w:r w:rsidRPr="00E858F8">
        <w:rPr>
          <w:sz w:val="28"/>
          <w:szCs w:val="28"/>
          <w:lang w:val="lv-LV"/>
        </w:rPr>
        <w:t>.</w:t>
      </w:r>
      <w:r>
        <w:rPr>
          <w:sz w:val="28"/>
          <w:szCs w:val="28"/>
          <w:lang w:val="lv-LV"/>
        </w:rPr>
        <w:t xml:space="preserve"> </w:t>
      </w:r>
      <w:r w:rsidRPr="00E858F8">
        <w:rPr>
          <w:sz w:val="28"/>
          <w:szCs w:val="28"/>
          <w:lang w:val="lv-LV"/>
        </w:rPr>
        <w:t>Tiesnesis savā lēmumā citē KPL 241.p.1 un 2.d. un secina, ka procesa virzītājs 01.08.2006. lēmumā nav norādījis uz t</w:t>
      </w:r>
      <w:r>
        <w:rPr>
          <w:sz w:val="28"/>
          <w:szCs w:val="28"/>
          <w:lang w:val="lv-LV"/>
        </w:rPr>
        <w:t>o, kā izpaudusies apsūdzētā A.</w:t>
      </w:r>
      <w:r w:rsidRPr="00E858F8">
        <w:rPr>
          <w:sz w:val="28"/>
          <w:szCs w:val="28"/>
          <w:lang w:val="lv-LV"/>
        </w:rPr>
        <w:t xml:space="preserve"> pretdarbība kriminālprocesa mērķa sasniegšanai konkrētajā kriminālprocesā vai atsevišķas procesuālās darbības veikšanai, kā arī pārsūdzētajā lēmumā n</w:t>
      </w:r>
      <w:r>
        <w:rPr>
          <w:sz w:val="28"/>
          <w:szCs w:val="28"/>
          <w:lang w:val="lv-LV"/>
        </w:rPr>
        <w:t>av norādīts uz apsūdzētajam A.</w:t>
      </w:r>
      <w:r w:rsidRPr="00E858F8">
        <w:rPr>
          <w:sz w:val="28"/>
          <w:szCs w:val="28"/>
          <w:lang w:val="lv-LV"/>
        </w:rPr>
        <w:t xml:space="preserve"> noteikto procesuālo pienākumu nepildīšana vai nepienācīgu pildīšanu.</w:t>
      </w:r>
    </w:p>
    <w:p w:rsidR="007A0BB2" w:rsidRPr="00E858F8" w:rsidRDefault="007A0BB2" w:rsidP="007A0BB2">
      <w:pPr>
        <w:pStyle w:val="naisf"/>
        <w:spacing w:before="0" w:beforeAutospacing="0" w:after="0" w:afterAutospacing="0"/>
        <w:jc w:val="both"/>
        <w:rPr>
          <w:sz w:val="28"/>
          <w:szCs w:val="28"/>
          <w:lang w:val="lv-LV"/>
        </w:rPr>
      </w:pPr>
      <w:r w:rsidRPr="00E858F8">
        <w:rPr>
          <w:sz w:val="28"/>
          <w:szCs w:val="28"/>
          <w:lang w:val="lv-LV"/>
        </w:rPr>
        <w:tab/>
        <w:t xml:space="preserve">Tiesa secina, ka ‘’ticamības pakāpe pieņēmumam, ka persona var izdarīt citus noziedzīgus nodarījumus, tam apstāklim, ka persona varētu izvairīties no izmeklēšanas vai tiesas, kā arī nepildīt noteiktos procesuālos pienākumus, ir priekšnoteikums, lai procesa virzītājs izraudzītos </w:t>
      </w:r>
      <w:r w:rsidRPr="00E858F8">
        <w:rPr>
          <w:sz w:val="28"/>
          <w:szCs w:val="28"/>
          <w:lang w:val="lv-LV"/>
        </w:rPr>
        <w:lastRenderedPageBreak/>
        <w:t>atbilstošu un samērīgu drošības līdzekli un tieši ietekmē tos nosacījumus, kas attiecas uz piemērojamo drošības līdzekli, konkrētajā gadījumā – uz drošības</w:t>
      </w:r>
      <w:r>
        <w:rPr>
          <w:sz w:val="28"/>
          <w:szCs w:val="28"/>
          <w:lang w:val="lv-LV"/>
        </w:rPr>
        <w:t xml:space="preserve"> naudas apmēru apsūdzētajam A.</w:t>
      </w:r>
      <w:r w:rsidRPr="00E858F8">
        <w:rPr>
          <w:sz w:val="28"/>
          <w:szCs w:val="28"/>
          <w:lang w:val="lv-LV"/>
        </w:rPr>
        <w:t>’’</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Tiesnesis savā lēmumā citē KPL 257.p.1.d., kur noteikts, ka drošības naudu piemēro, lai nodrošinātu apsūdzētā ierašanos pēc procesa virzītāja uzaicinājuma un citu likumā noteikto procesuālo pienākumu izpildi.</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Ties</w:t>
      </w:r>
      <w:r>
        <w:rPr>
          <w:sz w:val="28"/>
          <w:szCs w:val="28"/>
          <w:lang w:val="lv-LV"/>
        </w:rPr>
        <w:t>nesis norāda, ka ‘’</w:t>
      </w:r>
      <w:r w:rsidRPr="00E858F8">
        <w:rPr>
          <w:sz w:val="28"/>
          <w:szCs w:val="28"/>
          <w:lang w:val="lv-LV"/>
        </w:rPr>
        <w:t xml:space="preserve">ir pamats </w:t>
      </w:r>
      <w:r>
        <w:rPr>
          <w:sz w:val="28"/>
          <w:szCs w:val="28"/>
          <w:lang w:val="lv-LV"/>
        </w:rPr>
        <w:t>secināt</w:t>
      </w:r>
      <w:r w:rsidRPr="00E858F8">
        <w:rPr>
          <w:sz w:val="28"/>
          <w:szCs w:val="28"/>
          <w:lang w:val="lv-LV"/>
        </w:rPr>
        <w:t>, ka procesa virzītājs 01.08.2006., atkārtoti lemjot un izvērtējot nepieciešamību samazināt drošības naudas apmēru, nav izvērtējis arī t</w:t>
      </w:r>
      <w:r>
        <w:rPr>
          <w:sz w:val="28"/>
          <w:szCs w:val="28"/>
          <w:lang w:val="lv-LV"/>
        </w:rPr>
        <w:t>o apstākli, ka apsūdzētajam A.</w:t>
      </w:r>
      <w:r w:rsidRPr="00E858F8">
        <w:rPr>
          <w:sz w:val="28"/>
          <w:szCs w:val="28"/>
          <w:lang w:val="lv-LV"/>
        </w:rPr>
        <w:t xml:space="preserve"> ir piemēroti divi drošības līdzekļi.’’</w:t>
      </w:r>
    </w:p>
    <w:p w:rsidR="007A0BB2" w:rsidRPr="00E858F8" w:rsidRDefault="007A0BB2" w:rsidP="007A0BB2">
      <w:pPr>
        <w:pStyle w:val="naisf"/>
        <w:spacing w:before="0" w:beforeAutospacing="0" w:after="0" w:afterAutospacing="0"/>
        <w:jc w:val="both"/>
        <w:rPr>
          <w:sz w:val="28"/>
          <w:szCs w:val="28"/>
          <w:lang w:val="lv-LV"/>
        </w:rPr>
      </w:pPr>
      <w:r w:rsidRPr="00E858F8">
        <w:rPr>
          <w:sz w:val="28"/>
          <w:szCs w:val="28"/>
          <w:lang w:val="lv-LV"/>
        </w:rPr>
        <w:t>‘’Procesa virzītājs 01.08.</w:t>
      </w:r>
      <w:r>
        <w:rPr>
          <w:sz w:val="28"/>
          <w:szCs w:val="28"/>
          <w:lang w:val="lv-LV"/>
        </w:rPr>
        <w:t>2006., nosakot apsūdzētajam A.</w:t>
      </w:r>
      <w:r w:rsidRPr="00E858F8">
        <w:rPr>
          <w:sz w:val="28"/>
          <w:szCs w:val="28"/>
          <w:lang w:val="lv-LV"/>
        </w:rPr>
        <w:t xml:space="preserve"> drošības naudu 891 284 LVL apmērā, secinājis, ka šāda apmēra drošības naudu ir iespējams samaksāt viņa noteiktajā desmit dienu termiņā. Tiesneša ieskatā,  tāds termiņš nav samērīgs tālāk minēto iemeslu dēļ.</w:t>
      </w:r>
    </w:p>
    <w:p w:rsidR="007A0BB2" w:rsidRPr="00E858F8" w:rsidRDefault="007A0BB2" w:rsidP="007A0BB2">
      <w:pPr>
        <w:pStyle w:val="naisf"/>
        <w:spacing w:before="0" w:beforeAutospacing="0" w:after="0" w:afterAutospacing="0"/>
        <w:jc w:val="both"/>
        <w:rPr>
          <w:sz w:val="28"/>
          <w:szCs w:val="28"/>
          <w:lang w:val="lv-LV"/>
        </w:rPr>
      </w:pPr>
      <w:r>
        <w:rPr>
          <w:sz w:val="28"/>
          <w:szCs w:val="28"/>
          <w:lang w:val="lv-LV"/>
        </w:rPr>
        <w:t>Nosakot pienākumu A.</w:t>
      </w:r>
      <w:r w:rsidRPr="00E858F8">
        <w:rPr>
          <w:sz w:val="28"/>
          <w:szCs w:val="28"/>
          <w:lang w:val="lv-LV"/>
        </w:rPr>
        <w:t xml:space="preserve"> samaksāt desmit dienu laikā drošības naudu, procesa virzītājs nav samērīgi izvērtējis to apstākli, ka KPL notei</w:t>
      </w:r>
      <w:r>
        <w:rPr>
          <w:sz w:val="28"/>
          <w:szCs w:val="28"/>
          <w:lang w:val="lv-LV"/>
        </w:rPr>
        <w:t xml:space="preserve">ktā kārtībā uzlikts arests A. </w:t>
      </w:r>
      <w:r w:rsidRPr="00E858F8">
        <w:rPr>
          <w:sz w:val="28"/>
          <w:szCs w:val="28"/>
          <w:lang w:val="lv-LV"/>
        </w:rPr>
        <w:t>piederošai mantai t.i. nekustamajiem īpašumiem, transporta līdzekļiem, vērtspapīriem un bezskaidras naudas uzkrājumiem,  gan noziedzīgi iegūtai mantai kā norādīts lēmumā par aresta uzlikšanu mantai, kas iegūta vai saistīta ar kriminālprocesu un atrodas pie apsūdzētā sievas</w:t>
      </w:r>
      <w:r>
        <w:rPr>
          <w:sz w:val="28"/>
          <w:szCs w:val="28"/>
          <w:lang w:val="lv-LV"/>
        </w:rPr>
        <w:t xml:space="preserve"> un bērniem. Tas norāda, ka A.</w:t>
      </w:r>
      <w:r w:rsidRPr="00E858F8">
        <w:rPr>
          <w:sz w:val="28"/>
          <w:szCs w:val="28"/>
          <w:lang w:val="lv-LV"/>
        </w:rPr>
        <w:t xml:space="preserve"> ir likumā noteiktā kārtībā ir ierobežotas tiesības rīkoties ar viņam piederošo mantu.</w:t>
      </w:r>
    </w:p>
    <w:p w:rsidR="007A0BB2" w:rsidRPr="00E858F8" w:rsidRDefault="007A0BB2" w:rsidP="007A0BB2">
      <w:pPr>
        <w:pStyle w:val="naisf"/>
        <w:spacing w:before="0" w:beforeAutospacing="0" w:after="0" w:afterAutospacing="0"/>
        <w:jc w:val="both"/>
        <w:rPr>
          <w:sz w:val="28"/>
          <w:szCs w:val="28"/>
          <w:lang w:val="lv-LV"/>
        </w:rPr>
      </w:pPr>
      <w:r>
        <w:rPr>
          <w:sz w:val="28"/>
          <w:szCs w:val="28"/>
          <w:lang w:val="lv-LV"/>
        </w:rPr>
        <w:t>Minētie apstākļi ir ņemami vērā</w:t>
      </w:r>
      <w:r w:rsidRPr="00E858F8">
        <w:rPr>
          <w:sz w:val="28"/>
          <w:szCs w:val="28"/>
          <w:lang w:val="lv-LV"/>
        </w:rPr>
        <w:t>, lemjot  par drošības naudas apmēru un samaksas termiņa nosacījumiem.</w:t>
      </w:r>
    </w:p>
    <w:p w:rsidR="007A0BB2"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Tiesnesis norāda, ka ‘’lemjot par procesuālā piespiedu līdzekļa izraudzīšanos un procesuālā piespiedu līdzekļa izpildes nosacījumiem, jāņem vērā gan tās procesuālo tiesību normas, kas tieši nosaka attiecīgā drošības līdzekļa piemērošanas nosacījumus, kā arī jāņem vērā kriminālprocesa pamatp</w:t>
      </w:r>
      <w:r>
        <w:rPr>
          <w:sz w:val="28"/>
          <w:szCs w:val="28"/>
          <w:lang w:val="lv-LV"/>
        </w:rPr>
        <w:t>rincipus. KPL</w:t>
      </w:r>
      <w:r w:rsidRPr="00E858F8">
        <w:rPr>
          <w:sz w:val="28"/>
          <w:szCs w:val="28"/>
          <w:lang w:val="lv-LV"/>
        </w:rPr>
        <w:t xml:space="preserve"> 8.p. paredz, ka KPL nosaka vienotu procesuālo kārtību visām kriminālprocesā iesaistītajām personām neatkarīgi no šo personu izcelsmes, sociālā un mantiskā stāvokļa, nodarbošanās, pilsonības, rases un nacionālās piederības, attieksmes pret reliģiju, dzimuma, izglītības, valodas, dzī</w:t>
      </w:r>
      <w:r>
        <w:rPr>
          <w:sz w:val="28"/>
          <w:szCs w:val="28"/>
          <w:lang w:val="lv-LV"/>
        </w:rPr>
        <w:t>vesvietas un citiem apstākļiem.</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Savukārt KPL 12.p.1.d. nosaka pienākumu veikt kriminālprocesu, lai nepieļautu nesamērīgu iejaukšanos personas dzīvē.</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KPL 257.p.2.d. paredz, ka drošības naudu nosaka procesa virzītājs, ievērojot noziedzīga nodarījuma raksturu un ar to radīto kaitējumu, personas mantisko stāvokli, kā arī likumā paredzētā soda veidu un mēru.</w:t>
      </w:r>
    </w:p>
    <w:p w:rsidR="007A0BB2" w:rsidRPr="00E858F8" w:rsidRDefault="007A0BB2" w:rsidP="007A0BB2">
      <w:pPr>
        <w:pStyle w:val="naisf"/>
        <w:spacing w:before="0" w:beforeAutospacing="0" w:after="0" w:afterAutospacing="0"/>
        <w:jc w:val="both"/>
        <w:rPr>
          <w:sz w:val="28"/>
          <w:szCs w:val="28"/>
          <w:lang w:val="lv-LV"/>
        </w:rPr>
      </w:pPr>
      <w:r>
        <w:rPr>
          <w:sz w:val="28"/>
          <w:szCs w:val="28"/>
          <w:lang w:val="lv-LV"/>
        </w:rPr>
        <w:t>P</w:t>
      </w:r>
      <w:r w:rsidRPr="00E858F8">
        <w:rPr>
          <w:sz w:val="28"/>
          <w:szCs w:val="28"/>
          <w:lang w:val="lv-LV"/>
        </w:rPr>
        <w:t>iemērojot KPL 257.p. minētās procesuālās tiesību normas piemērošanā jāņem vērā gan sistēmiska, gan teleoloģiskā (t.i. likuma mērķa un jēgas) iztulkošanas metode, vienlaicīgi ņemot vērā KPL 244.p. nosacījumus.’’</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lastRenderedPageBreak/>
        <w:t>Tiesnesis konstatē, ka ‘’procesa virzītājs secinājis, ka drošības naudas apmēram ir jāatbilst tam mantiskā kaitējuma apmēram, kas noradīts apsūdzībā t.i. 891 284 LVL. Drošības naudas apmēra noteikšana, atbilstoši tam mantiskā kaitējuma apmēram uz ko ir norādīts apsūdzī</w:t>
      </w:r>
      <w:r>
        <w:rPr>
          <w:sz w:val="28"/>
          <w:szCs w:val="28"/>
          <w:lang w:val="lv-LV"/>
        </w:rPr>
        <w:t>bā, nav pamatota. Apsūdzētā A.</w:t>
      </w:r>
      <w:r w:rsidRPr="00E858F8">
        <w:rPr>
          <w:sz w:val="28"/>
          <w:szCs w:val="28"/>
          <w:lang w:val="lv-LV"/>
        </w:rPr>
        <w:t xml:space="preserve"> prettiesiskas rīcības esamība, darbību rezultātā radušās sekas, viņam inkriminēto noziedzīgo </w:t>
      </w:r>
      <w:r>
        <w:rPr>
          <w:sz w:val="28"/>
          <w:szCs w:val="28"/>
          <w:lang w:val="lv-LV"/>
        </w:rPr>
        <w:t>nodarījumu sastāva subjektīvās un objektīvās puses esamība A.</w:t>
      </w:r>
      <w:r w:rsidRPr="00E858F8">
        <w:rPr>
          <w:sz w:val="28"/>
          <w:szCs w:val="28"/>
          <w:lang w:val="lv-LV"/>
        </w:rPr>
        <w:t xml:space="preserve"> darbībās, atbilstoši KPL 124.p.nosacījumiemir pierādīšanas priekšmets kriminālprocesā.</w:t>
      </w:r>
    </w:p>
    <w:p w:rsidR="007A0BB2" w:rsidRPr="00E858F8" w:rsidRDefault="007A0BB2" w:rsidP="007A0BB2">
      <w:pPr>
        <w:pStyle w:val="naisf"/>
        <w:spacing w:before="0" w:beforeAutospacing="0" w:after="0" w:afterAutospacing="0"/>
        <w:ind w:firstLine="720"/>
        <w:jc w:val="both"/>
        <w:rPr>
          <w:sz w:val="28"/>
          <w:szCs w:val="28"/>
          <w:lang w:val="lv-LV"/>
        </w:rPr>
      </w:pPr>
      <w:r>
        <w:rPr>
          <w:sz w:val="28"/>
          <w:szCs w:val="28"/>
          <w:lang w:val="lv-LV"/>
        </w:rPr>
        <w:t>M</w:t>
      </w:r>
      <w:r w:rsidRPr="00E858F8">
        <w:rPr>
          <w:sz w:val="28"/>
          <w:szCs w:val="28"/>
          <w:lang w:val="lv-LV"/>
        </w:rPr>
        <w:t>inēto iemeslu dēļ secināms, ka drošības naudas precīza noteikšana atbilstoši mantiskā kaitējuma apmēram ir kļūdaina un norāda uz to, ka procesa virzītājs ir sašaurināti iztulkojis KPL 257.p., neņemot vērā minētā panta 1.d. minēto par drošības naudas kā procesuāla piespiedu līdzekļa mērķi t.i. lai nodrošinātu apsūdzētā ierašanos pēc procesa virzītāja uzaicinājuma un citu likumā noteikto procesuālo pienākumu izpildi.’’</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 xml:space="preserve">Tiesnesis izvērtējot visus augstāk minētos faktiskos apstākļus nonāca pie secinājuma, ka ‘’augstāk minētie iemesli ir pamats, lai procesa virzītājs atkārtoti izvērtētu to, kādā saprātīgā </w:t>
      </w:r>
      <w:r>
        <w:rPr>
          <w:sz w:val="28"/>
          <w:szCs w:val="28"/>
          <w:lang w:val="lv-LV"/>
        </w:rPr>
        <w:t>termiņā un kāds apsūdzētajam A.</w:t>
      </w:r>
      <w:r w:rsidRPr="00E858F8">
        <w:rPr>
          <w:sz w:val="28"/>
          <w:szCs w:val="28"/>
          <w:lang w:val="lv-LV"/>
        </w:rPr>
        <w:t xml:space="preserve"> drošības naudas apmērs būs samērīgs, kas sasniegs KPL 257.p. noteikto drošības līdzekļa mērķi.’’ Tiesnesis vērsa uzmanību, ka noteiktajam drošības naudas apmēram jābūt pamatotam.</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 xml:space="preserve">Procesa virzītājs 17.08.2006. pieņēma lēmumu ar kuru tika grozīta drošības naudas summa </w:t>
      </w:r>
      <w:r>
        <w:rPr>
          <w:sz w:val="28"/>
          <w:szCs w:val="28"/>
          <w:lang w:val="lv-LV"/>
        </w:rPr>
        <w:t>800 000 LVL. Šis lēmums jau trešo</w:t>
      </w:r>
      <w:r w:rsidRPr="00E858F8">
        <w:rPr>
          <w:sz w:val="28"/>
          <w:szCs w:val="28"/>
          <w:lang w:val="lv-LV"/>
        </w:rPr>
        <w:t xml:space="preserve"> reizi no apsūdzētā  puses kā neizpildāms tika pārsūdzēts izmeklēšanas tiesnesim.</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28.08.2006. Centra r</w:t>
      </w:r>
      <w:r>
        <w:rPr>
          <w:sz w:val="28"/>
          <w:szCs w:val="28"/>
          <w:lang w:val="lv-LV"/>
        </w:rPr>
        <w:t>ajona izmeklēšanas tiesnesis D. izskatot apsūdzēta A.</w:t>
      </w:r>
      <w:r w:rsidRPr="00E858F8">
        <w:rPr>
          <w:sz w:val="28"/>
          <w:szCs w:val="28"/>
          <w:lang w:val="lv-LV"/>
        </w:rPr>
        <w:t xml:space="preserve"> sūdzību nolēma to apmierināt, motivējot to ar sekojošu apstākļu analīzi:</w:t>
      </w:r>
    </w:p>
    <w:p w:rsidR="007A0BB2" w:rsidRPr="00E858F8" w:rsidRDefault="007A0BB2" w:rsidP="007A0BB2">
      <w:pPr>
        <w:pStyle w:val="naisf"/>
        <w:spacing w:before="0" w:beforeAutospacing="0" w:after="0" w:afterAutospacing="0"/>
        <w:jc w:val="both"/>
        <w:rPr>
          <w:sz w:val="28"/>
          <w:szCs w:val="28"/>
          <w:lang w:val="lv-LV"/>
        </w:rPr>
      </w:pPr>
      <w:r w:rsidRPr="00E858F8">
        <w:rPr>
          <w:sz w:val="28"/>
          <w:szCs w:val="28"/>
          <w:lang w:val="lv-LV"/>
        </w:rPr>
        <w:t>‘’KPL 257.p. piemērojams sistēmiski, tulkojot to saskaņā ar KPL 241.p. un  244.p. noteikumiem.</w:t>
      </w:r>
    </w:p>
    <w:p w:rsidR="007A0BB2" w:rsidRPr="00E858F8" w:rsidRDefault="007A0BB2" w:rsidP="007A0BB2">
      <w:pPr>
        <w:pStyle w:val="naisf"/>
        <w:spacing w:before="0" w:beforeAutospacing="0" w:after="0" w:afterAutospacing="0"/>
        <w:jc w:val="both"/>
        <w:rPr>
          <w:sz w:val="28"/>
          <w:szCs w:val="28"/>
          <w:lang w:val="lv-LV"/>
        </w:rPr>
      </w:pPr>
      <w:r w:rsidRPr="00E858F8">
        <w:rPr>
          <w:sz w:val="28"/>
          <w:szCs w:val="28"/>
          <w:lang w:val="lv-LV"/>
        </w:rPr>
        <w:t>Procesa virzītājs 17.08.2006. lēmumā, ar kuru grozīts 20.07.2006. lēmums, norādījis, ka ir izvērtējis noziedzīgā nodarījuma smagumu un raksturu, kaitējuma apmēru, apsūdzētā mantisko stāvokli, procesa virzītājs atsaucoties uz piemērotā drošības līdzekļa samērīgumu un secinājis, ka ir pama</w:t>
      </w:r>
      <w:r>
        <w:rPr>
          <w:sz w:val="28"/>
          <w:szCs w:val="28"/>
          <w:lang w:val="lv-LV"/>
        </w:rPr>
        <w:t>ts uzskatīt, ka apsūdzētais A.</w:t>
      </w:r>
      <w:r w:rsidRPr="00E858F8">
        <w:rPr>
          <w:sz w:val="28"/>
          <w:szCs w:val="28"/>
          <w:lang w:val="lv-LV"/>
        </w:rPr>
        <w:t xml:space="preserve"> izvairīsies no izmeklēšanas un tiesas un turpinās izdarīt noziedzīgas darbības.’’</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Tiesa norāda, ka ‘’ procesa virzītā</w:t>
      </w:r>
      <w:r>
        <w:rPr>
          <w:sz w:val="28"/>
          <w:szCs w:val="28"/>
          <w:lang w:val="lv-LV"/>
        </w:rPr>
        <w:t>js pieņemot  17.08.2006. lēmumu</w:t>
      </w:r>
      <w:r w:rsidRPr="00E858F8">
        <w:rPr>
          <w:sz w:val="28"/>
          <w:szCs w:val="28"/>
          <w:lang w:val="lv-LV"/>
        </w:rPr>
        <w:t>, nav pilnībā ievērojis KPL 241.p.1. un 2.d. noteikumus, KPL 244.p.1.d. noteikumus.</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Procesuālā piespiedu drošības līdzekļa piemērošanas pamats  ir  personas pretdarbība kriminālprocesa mērķa sasniegšanai konkrētajā procesā vai atsevišķas procesuālās darbības veikšanai, procesuālo pienākumu nepildīšana vai nepienācīga pildīšana.</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lastRenderedPageBreak/>
        <w:t>KPL 320.p.3.d. nosaka, ka lēmuma aprakstošajā daļā norāda procesā noskaidroto apstākļu būtību, kas ir pamatā nolēmuma pieņemšanai.</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Tiesa secina, ka ‘’iesniegtie kriminālprocesa materiāli nesatur n</w:t>
      </w:r>
      <w:r>
        <w:rPr>
          <w:sz w:val="28"/>
          <w:szCs w:val="28"/>
          <w:lang w:val="lv-LV"/>
        </w:rPr>
        <w:t>ekādus pierādījumus tam, ka A.</w:t>
      </w:r>
      <w:r w:rsidRPr="00E858F8">
        <w:rPr>
          <w:sz w:val="28"/>
          <w:szCs w:val="28"/>
          <w:lang w:val="lv-LV"/>
        </w:rPr>
        <w:t xml:space="preserve"> būtu veicis pretdarbību kriminālprocesa mērķa sasniegšanai konkrētajā procesā vai pretdarbību atsevišķas procesuālās darbības veikšanai, nav arī pierādījumu, kas ļa</w:t>
      </w:r>
      <w:r>
        <w:rPr>
          <w:sz w:val="28"/>
          <w:szCs w:val="28"/>
          <w:lang w:val="lv-LV"/>
        </w:rPr>
        <w:t>utu secināt, ka apsūdzētais A.</w:t>
      </w:r>
      <w:r w:rsidRPr="00E858F8">
        <w:rPr>
          <w:sz w:val="28"/>
          <w:szCs w:val="28"/>
          <w:lang w:val="lv-LV"/>
        </w:rPr>
        <w:t xml:space="preserve"> izvairīsies no izmeklēšanas un tiesas un turpinās izdarīt noziedzīgas darbības. Šo iemeslu dēļ nevar uzskatīt, ka procesa virzītājs pamatojis drošības līdzekļu  piemērošanas nepieciešamību un tāpēc arī nevar uzskatīt piemēroto drošības naudu un tās apmēru par samērīgu drošības līdzekli. Apsūdzībā norādīto noziedzīgo nodarījumu smagums un kaitējuma apmērs vien nevar būt pietiekams pamats secināt, ka persona izvairīsies no izmeklēšanas un tiesas un turpinās izdarīt noziedzīgas darbības.’’</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t>Piemērotās drošības naudas apmēru nevar atzīt par pamatotu, jo to nosakot procesa virzītājs norādījis, ka drošības naudas apmēram jāmotivē apsūdzēto izpildīt procesuālos pienākumus, bet pats nav motivējis kāpēc jānodrošina procesuālo pienākumu izpilde (kā jau minēts –nav pierādījumu par neizpildi).</w:t>
      </w:r>
    </w:p>
    <w:p w:rsidR="007A0BB2" w:rsidRDefault="007A0BB2" w:rsidP="007A0BB2">
      <w:pPr>
        <w:ind w:firstLine="720"/>
        <w:jc w:val="both"/>
        <w:rPr>
          <w:sz w:val="28"/>
          <w:szCs w:val="28"/>
        </w:rPr>
      </w:pPr>
      <w:r w:rsidRPr="005B2D4E">
        <w:rPr>
          <w:sz w:val="28"/>
          <w:szCs w:val="28"/>
        </w:rPr>
        <w:t>Tiesa</w:t>
      </w:r>
      <w:r>
        <w:rPr>
          <w:sz w:val="28"/>
          <w:szCs w:val="28"/>
        </w:rPr>
        <w:t xml:space="preserve"> norāda, ka ‘’</w:t>
      </w:r>
      <w:r w:rsidRPr="002729FE">
        <w:rPr>
          <w:sz w:val="28"/>
          <w:szCs w:val="28"/>
        </w:rPr>
        <w:t>Nav</w:t>
      </w:r>
      <w:r>
        <w:rPr>
          <w:sz w:val="28"/>
          <w:szCs w:val="28"/>
        </w:rPr>
        <w:t xml:space="preserve"> pamatots procesa virzītāja viedoklis tieši saistot drošības naudas apmēru ar nodarīto kaitējuma apmēru, jo kaitējuma apmērs ir pierādāms iztiesājot lietu un kaitējuma apmērs, kā arī kaitējuma atlīdzības pienākums nosakāms ar tiesas spriedumu. Bez tam, procesa virzītājs nav ņēmis vērā, ka kaitējuma atlīdzība kā mantiskā jautājuma risinājums jau ir nodrošināts ar apsūdzētā mantas arestu.</w:t>
      </w:r>
    </w:p>
    <w:p w:rsidR="007A0BB2" w:rsidRDefault="007A0BB2" w:rsidP="007A0BB2">
      <w:pPr>
        <w:ind w:firstLine="720"/>
        <w:jc w:val="both"/>
        <w:rPr>
          <w:sz w:val="28"/>
          <w:szCs w:val="28"/>
        </w:rPr>
      </w:pPr>
      <w:r>
        <w:rPr>
          <w:sz w:val="28"/>
          <w:szCs w:val="28"/>
        </w:rPr>
        <w:t>Konstatēts, ka nosakot drošības naudas apmēru, procesa virzītājs: nav novērtējis pierādījumu neesamību par procesuālo pienākumu nepildīšanu; nav ņēmis vērā neiespējamību izpildīt piemērotās drošības naudas nosacījumus; nav ņēmis vērā daļēji iemaksāto drošības naudu; nav novērtējis iespējamību sasniegt kriminālprocesuālo mērķi ar lietā jau piemēroto un ievēroto drošības līdzekli- aizliegumu izbraukt no valsts; nepamatoti pielīdzinājis drošības naudas apmēru kaitējumam un iegūto naudas līdzekļu apmēram, kas ir pierādāmi iztiesājot lietu un kuru atlīdzības pienākums nosakāms ar tiesas spriedumu; vērtējot apsūdzētā mantisko stāvokli nav ņēmis vērā viņa kredītsaistības, norādījis, ka drošības naudai jābūt nozīmīgai attiecībā pret personas mantu. No tā secināms, ka procesa virzītājs skatot drošības naudas apmēru, ir pieļāvis apsūdzētā diskrimināciju pēc mantiskā stāvokļa, kas ir pretēji Vispārējās cilvēktiesību deklarācijas 7.pantam, Starptautiskā pakta par pilsoņu un politiskajām tiesībām 26.p., Cilvēktiesību un pamatbrīvību aizsardzības konvencijas 14.p., LR Satversmes 91.p., KPL 8.p.</w:t>
      </w:r>
    </w:p>
    <w:p w:rsidR="007A0BB2" w:rsidRPr="00E858F8" w:rsidRDefault="007A0BB2" w:rsidP="007A0BB2">
      <w:pPr>
        <w:pStyle w:val="naisf"/>
        <w:spacing w:before="0" w:beforeAutospacing="0" w:after="0" w:afterAutospacing="0"/>
        <w:ind w:firstLine="720"/>
        <w:jc w:val="both"/>
        <w:rPr>
          <w:sz w:val="28"/>
          <w:szCs w:val="28"/>
          <w:lang w:val="lv-LV"/>
        </w:rPr>
      </w:pPr>
      <w:r w:rsidRPr="00E858F8">
        <w:rPr>
          <w:sz w:val="28"/>
          <w:szCs w:val="28"/>
          <w:lang w:val="lv-LV"/>
        </w:rPr>
        <w:lastRenderedPageBreak/>
        <w:t xml:space="preserve">Tiesa secina, ka ‘’procesa virzītājs nosakot drošības naudu apmēru, ir pieļāvis apsūdzētā diskrimināciju pēc mantiskā stāvokļa, kas ir pretēji Vispārējās cilvēktiesību deklarācijas 7.p., Starptautiskā pakta par pilsoņu un politiskajām tiesībām 26.p., Cilvēktiesību un pamatbrīvību aizsardzības konvencijas 14.p., LR Satversmes 91.p. un KPL 8.p. Ievērojot visus noskaidrotos apstākļus, tiesa atdzīst , ka saskaņā  ar KPL 262.p.4.d. ir pamats uzdot procesa virzītājam grozīt pieņemto lēmumu.       </w:t>
      </w:r>
    </w:p>
    <w:p w:rsidR="007A0BB2" w:rsidRDefault="007A0BB2" w:rsidP="007A0BB2">
      <w:pPr>
        <w:ind w:firstLine="720"/>
        <w:jc w:val="both"/>
        <w:rPr>
          <w:sz w:val="28"/>
          <w:szCs w:val="28"/>
        </w:rPr>
      </w:pPr>
      <w:r w:rsidRPr="003C6919">
        <w:rPr>
          <w:sz w:val="28"/>
          <w:szCs w:val="28"/>
        </w:rPr>
        <w:t>Procesa virzītājs</w:t>
      </w:r>
      <w:r>
        <w:rPr>
          <w:sz w:val="28"/>
          <w:szCs w:val="28"/>
        </w:rPr>
        <w:t xml:space="preserve"> 31.08.2006. pieņem lēmumu ar kuru apsūdzētajam A. tiek atcelts drošības līdzeklis </w:t>
      </w:r>
      <w:r w:rsidRPr="00E858F8">
        <w:rPr>
          <w:sz w:val="28"/>
          <w:szCs w:val="28"/>
        </w:rPr>
        <w:t>drošības nauda</w:t>
      </w:r>
      <w:r>
        <w:rPr>
          <w:sz w:val="28"/>
          <w:szCs w:val="28"/>
        </w:rPr>
        <w:t xml:space="preserve">, kas tika piemērots 20.07.2006. kā argumentāciju norādot, ka nav iespējams vairāk grozīt drošības naudas apmēru sekojošo iemeslu dēļ: samazinot drošības naudas apmēru, tas nebūs pietiekams, lai motivētu konkrētu personu pildīt tai uzliktos procesuālos pienākumus, tādejādi zudīs iespēja sasniegt šā konkrētā drošības līdzekļa mērķi izvērtējot izmeklēšanas tiesneša lēmuma motivāciju, kuros ignorēti prokurora argumenti, procesa virzītājs atdzīst par nelietderīgu turpināt iesaistīties drošības naudas apmēra samazināšanas procesā. </w:t>
      </w:r>
    </w:p>
    <w:p w:rsidR="007A0BB2" w:rsidRDefault="007A0BB2" w:rsidP="007A0BB2">
      <w:pPr>
        <w:ind w:firstLine="720"/>
        <w:jc w:val="both"/>
        <w:rPr>
          <w:sz w:val="28"/>
          <w:szCs w:val="28"/>
        </w:rPr>
      </w:pPr>
      <w:r>
        <w:rPr>
          <w:sz w:val="28"/>
          <w:szCs w:val="28"/>
        </w:rPr>
        <w:t>Bez tam procesa virzītājs norāda, ka daudzkārtēja pārsūdzēšana, sūdzību izskatīšana un procesa virzītāja paskaidrojumu sagatavošana un iesniegšana, pieņemto procesuālo lēmumu grozīšana atrauj procesa virzītāju no pirmstiesas izmeklēšanas pamatfunkciju izpildes un var apdraudēt kriminālprocesa pabeigšanu saprātīgā termiņā.</w:t>
      </w:r>
    </w:p>
    <w:p w:rsidR="007A0BB2" w:rsidRDefault="007A0BB2" w:rsidP="007A0BB2">
      <w:pPr>
        <w:ind w:firstLine="720"/>
        <w:jc w:val="both"/>
        <w:rPr>
          <w:sz w:val="28"/>
          <w:szCs w:val="28"/>
        </w:rPr>
      </w:pPr>
      <w:r>
        <w:rPr>
          <w:sz w:val="28"/>
          <w:szCs w:val="28"/>
        </w:rPr>
        <w:t>Procesa virzītājs 25.09.2006. informē LR ģenerālprokuroru par atsevišķu problēmu konstatāciju kriminālprocesā, kas attiecas uz drošības līdzekļa – drošības naudas piemērošanu un pārsūdzību .Prokurors norāda, ka procesuālā prakse kādā risināti ar drošības naudas apmēra pārsūdzību saistītie jautājumi, iespējams, saistīta ar izmeklēšanas tiesnešu pilnvaru  pārsniegšanu un radījusi vairāku kriminālprocesuālo pamatprincipu aizskārumu. Uzskata, ka ir pārkāpts KPL 17.p. paredzētais princips par procesuālo funkciju nodalīšanu un par līdzvērtīgu procesuālo pilnvaru realizāciju, kas reglamentēts KPL 18.p.</w:t>
      </w:r>
    </w:p>
    <w:p w:rsidR="007A0BB2" w:rsidRDefault="007A0BB2" w:rsidP="007A0BB2">
      <w:pPr>
        <w:ind w:firstLine="720"/>
        <w:jc w:val="both"/>
        <w:rPr>
          <w:sz w:val="28"/>
          <w:szCs w:val="28"/>
        </w:rPr>
      </w:pPr>
      <w:r>
        <w:rPr>
          <w:sz w:val="28"/>
          <w:szCs w:val="28"/>
        </w:rPr>
        <w:t xml:space="preserve">Prokurors analizējot trīs izmeklēšanas tiesnešu lēmumus, secina, ka izskatot sūdzības par drošības naudas apmēra noteikšanu, tie pārkāpuši savas kriminālprocesuālās pilnvaras, lemjot par procesa virzītāja lēmumu tādā daļā, kura pamatotības izvērtējums nav izmeklēšanas tiesnešu kompetencē. </w:t>
      </w:r>
    </w:p>
    <w:p w:rsidR="007A0BB2" w:rsidRDefault="007A0BB2" w:rsidP="007A0BB2">
      <w:pPr>
        <w:ind w:firstLine="720"/>
        <w:jc w:val="both"/>
        <w:rPr>
          <w:sz w:val="28"/>
          <w:szCs w:val="28"/>
        </w:rPr>
      </w:pPr>
      <w:r>
        <w:rPr>
          <w:sz w:val="28"/>
          <w:szCs w:val="28"/>
        </w:rPr>
        <w:t xml:space="preserve">Prokurors norāda, ka KPL 262.p.1.d.4.pkts. strikti noteikta robeža, kādā izmeklēšanas tiesnesim izlemjamas sūdzības par drošības naudas piemērošanu, proti, var pārsūdzēt procesa virzītāja pieņemto lēmumu par drošības naudas apmēru, ko apsūdzētais ir arī darījis. </w:t>
      </w:r>
    </w:p>
    <w:p w:rsidR="007A0BB2" w:rsidRDefault="007A0BB2" w:rsidP="007A0BB2">
      <w:pPr>
        <w:ind w:firstLine="720"/>
        <w:jc w:val="both"/>
        <w:rPr>
          <w:sz w:val="28"/>
          <w:szCs w:val="28"/>
        </w:rPr>
      </w:pPr>
      <w:r>
        <w:rPr>
          <w:sz w:val="28"/>
          <w:szCs w:val="28"/>
        </w:rPr>
        <w:t xml:space="preserve">Izmeklēšanas tiesneši savos lēmumos uzdevuši procesa virzītājam grozīt ne tikai drošības naudas apmēru, bet arī norādījuši grozīt drošības naudas nosacījumus un apmēra noteikšanas pamatojumu. Prokurors </w:t>
      </w:r>
      <w:r>
        <w:rPr>
          <w:sz w:val="28"/>
          <w:szCs w:val="28"/>
        </w:rPr>
        <w:lastRenderedPageBreak/>
        <w:t>uzskata, ka visos izmeklēšanas tiesnešu lēmumos pielietotā argumentācija motīvu un aprakstošajās daļās pēc būtības apšauba pieņemtā lēmuma likumību, kas ir pretrunā ar KPL 337.p.1.d. būtību, t.i. sūdzību par kriminālprocesa veicošās amatpersonas rīcību vai nolēmumu izlemj tā valsts institūcija vai procesa virzītājs, kas ir atbildīgs par procesu un saskaņā ar likumu ir tiesīgs izskatīt sūdzības un pieņemt lēmumus.</w:t>
      </w:r>
    </w:p>
    <w:p w:rsidR="007A0BB2" w:rsidRDefault="007A0BB2" w:rsidP="007A0BB2">
      <w:pPr>
        <w:ind w:firstLine="720"/>
        <w:jc w:val="both"/>
        <w:rPr>
          <w:sz w:val="28"/>
          <w:szCs w:val="28"/>
        </w:rPr>
      </w:pPr>
      <w:r>
        <w:rPr>
          <w:sz w:val="28"/>
          <w:szCs w:val="28"/>
        </w:rPr>
        <w:t>Prokurors vērš uzmanību, ka KPL ir speciāla norma, kas skaidri norāda, kā izmeklēšanas tiesnesim jāvērtē sūdzības iesniedzēja argumentācija par drošības naudas apmēra pamatotību. KPL 262.p.2.d. noteikts, ja persona, kurai piemērots drošības līdzeklis, var pamatot, ka šāda drošības līdzekļa noteikumi tai  nav izpildāmi, šī persona, kā arī tās aizstāvis vai pārstāvis ir tiesīgi 7 dienu laikā pēc lēmuma saņemšanas iesniegt sūdzību izmeklēšanas tiesnesim. Minētā norma nozīmē, ka izmeklēšanas tiesnesim skatot sūdzību ir jāvērtē tikai tie argumenti, kurus sūdzības iesniedzējs norādījis kā iemeslu neiespējamībai iemaksāt noteikto drošības naudu tādā apmērā, kā to noteicos procesa virzītājs, nevis jāanalizē procesa virzītāja motīvus, kas bijuši piespiedu līdzekļa noteikšanas pamatā. Prokurors secina, ka izmeklēšanas tiesneši nav pamatojuši apsvērumus, kādēļ sūdzības iesniedzējs, pēc tiesneša domām nav spējīgs izpildīt procesa virzītāja uzlikto procesuālo pienākumu –samaksāt noteikto drošības naudu.</w:t>
      </w:r>
    </w:p>
    <w:p w:rsidR="007A0BB2" w:rsidRDefault="007A0BB2" w:rsidP="007A0BB2">
      <w:pPr>
        <w:ind w:firstLine="720"/>
        <w:jc w:val="both"/>
        <w:rPr>
          <w:sz w:val="28"/>
          <w:szCs w:val="28"/>
        </w:rPr>
      </w:pPr>
      <w:r>
        <w:rPr>
          <w:sz w:val="28"/>
          <w:szCs w:val="28"/>
        </w:rPr>
        <w:t>Bez tam, izmeklēšanas tiesnešu rīcība norāda uz KPL 17.p. paredzētā pamatprincipa aizskārumu, proti, cilvēka tiesību ierobežojumu kontroles funkcijas pirmstiesas izmeklēšanā un apsūdzības, aizstāvības un tiesas spriešanas funkcijas kriminālprocesā ir nodalītas. Šī pamatprincipa pārkāpums izpaužas tādejādi, ka atbilstoši KPL 262.p.2.d. nosacījumiem, izmeklēšanas tiesnesis tiesīgs vērtēt tikai personas iespēju izpildīt procesa virzītāja uzlikto piespiedu līdzekli, savukārt, drošības līdzekļa piemērošana ir prokurora kā procesa virzītāja kompetence un viņa rīcības un lēmuma pamatotības vērtēšana ir amatā augstāka prokurora prerogatīva. Saskaņā ar KPL 41.p.1.d.3.pktu., izmeklēšanas tiesnesim ir pienākums likumā paredzētajos gadījumos izskatīt sūdzības par procesa virzītāja piemēroto drošības līdzekli un šī norma interpretējama kopsakarībā ar KPL 262.p.2.d.. kas ierobežo personas tiesības sūdzēties par KPL 262.p.1.d. norādīto drošības līdzekļa piemērošanu, proti, drošības līdzekli ir pamats pārsūdzēt izmeklēšanas tiesnesim tikai gadījumā, ja drošības līdzekļa nosacījumi personai ir neizpildāmi.</w:t>
      </w:r>
    </w:p>
    <w:p w:rsidR="007A0BB2" w:rsidRDefault="007A0BB2" w:rsidP="007A0BB2">
      <w:pPr>
        <w:ind w:firstLine="720"/>
        <w:jc w:val="both"/>
        <w:rPr>
          <w:sz w:val="28"/>
          <w:szCs w:val="28"/>
        </w:rPr>
      </w:pPr>
      <w:r>
        <w:rPr>
          <w:sz w:val="28"/>
          <w:szCs w:val="28"/>
        </w:rPr>
        <w:t xml:space="preserve">Prokurors secina, situācija, kad izmeklēšanas tiesneši veido KPL pamatprincipiem neatbilstošu praksi, nerēķinās ar procesa virzītāja lēmumā esošiem argumentiem, kas bijuši konkrēta procesuālā pienākuma noteikšanas pamatā, nav pieļaujama, līdz ar ko būtu meklējami risinājumi, lai turpmāk nerastos kriminālprocesuāliem principiem neatbilstoša tiesību normu interpretācija, kā arī būtu vērtējam </w:t>
      </w:r>
      <w:r>
        <w:rPr>
          <w:sz w:val="28"/>
          <w:szCs w:val="28"/>
        </w:rPr>
        <w:lastRenderedPageBreak/>
        <w:t xml:space="preserve">izmeklēšanas tiesnešu profesionalitāte, izlemjot apsūdzētā sūdzības. Ņemot vērā iepriekš teikto, prokurors ierosina izvērtēt nepieciešamību grozīt vai papildināt KPL normas, kā arī izvērtēt izmeklēšanas tiesnešu rīcības atbilstību likumam. </w:t>
      </w:r>
    </w:p>
    <w:p w:rsidR="007A0BB2" w:rsidRDefault="007A0BB2" w:rsidP="007A0BB2">
      <w:pPr>
        <w:ind w:firstLine="720"/>
        <w:jc w:val="both"/>
        <w:rPr>
          <w:sz w:val="28"/>
          <w:szCs w:val="28"/>
        </w:rPr>
      </w:pPr>
      <w:bookmarkStart w:id="8" w:name="OLE_LINK9"/>
      <w:bookmarkStart w:id="9" w:name="OLE_LINK10"/>
      <w:r>
        <w:rPr>
          <w:sz w:val="28"/>
          <w:szCs w:val="28"/>
        </w:rPr>
        <w:t>Analizējot izmeklēšanas tiesnešu un procesa virzītāja viedokli, a</w:t>
      </w:r>
      <w:r w:rsidRPr="00927984">
        <w:rPr>
          <w:sz w:val="28"/>
          <w:szCs w:val="28"/>
        </w:rPr>
        <w:t>utors secina,</w:t>
      </w:r>
      <w:r w:rsidRPr="00E53490">
        <w:rPr>
          <w:sz w:val="28"/>
          <w:szCs w:val="28"/>
        </w:rPr>
        <w:t xml:space="preserve"> </w:t>
      </w:r>
      <w:r>
        <w:rPr>
          <w:sz w:val="28"/>
          <w:szCs w:val="28"/>
        </w:rPr>
        <w:t xml:space="preserve">ka ir izveidojusies duāla situācija ar dažu KPL normu izpratni un piemērošanu. Taču interpretējot tiesību normas izmantojot sistēmisko metodi, autors uzskata, ka izmeklēšanas tiesneša kompetencē ir tiesības vērtēt procesa virzītāja pieņemtā lēmuma pamatotību. Uz to, ka lēmumam ir jābūt pamatotam strikti norāda arī KPL 318.p.1.d.5.punkts, kur noteikts, ka procesa virzītājs pieņem un rakstveidā noformē motivētu lēmumu par piespiedu līdzekļa piemērošanu.  Bez tam, KPL 320.p.1.d un 4.d. ir noteikts, ka viena no lēmuma struktūras daļām ir motīvu daļa, kurā jānorāda izdarīto secinājumu pamatojums. Procesa virzītājs kļūdaini secina, ka lēmuma pamatotību var vērtēt tikai augstāk stāvošs prokurors, jo KPL nav deleģējis tiesības amatā augstākam prokuroram vērtēt piemērotā drošības līdzekļa-drošības nauda  pamatotību.   </w:t>
      </w:r>
    </w:p>
    <w:p w:rsidR="007A0BB2" w:rsidRDefault="007A0BB2" w:rsidP="007A0BB2">
      <w:pPr>
        <w:ind w:firstLine="720"/>
        <w:jc w:val="both"/>
        <w:rPr>
          <w:sz w:val="28"/>
          <w:szCs w:val="28"/>
        </w:rPr>
      </w:pPr>
      <w:r>
        <w:rPr>
          <w:sz w:val="28"/>
          <w:szCs w:val="28"/>
        </w:rPr>
        <w:t>Procesa virzītājs ļoti šauri tulko tiesību normas, kas attiecas uz izmeklēšanas tiesneša kompetenci, jo tā neaprobežojas tikai ar sūdzības par drošības naudas apmēra izvērtēšanu. Saskaņā ar KPL 40.p.  izmeklēšanas tiesnesis kontrolē cilvēktiesību ievērošanu, kas sevī ietver nosacījumu, ka personai kurai ir tiesības uz aizstāvību, tiek garantētas tiesības uz taisnīgu un objektīvu tiesu.</w:t>
      </w:r>
    </w:p>
    <w:p w:rsidR="007A0BB2" w:rsidRPr="00E53490" w:rsidRDefault="007A0BB2" w:rsidP="007A0BB2">
      <w:pPr>
        <w:ind w:firstLine="720"/>
        <w:jc w:val="both"/>
        <w:rPr>
          <w:sz w:val="28"/>
          <w:szCs w:val="28"/>
        </w:rPr>
      </w:pPr>
      <w:r>
        <w:rPr>
          <w:sz w:val="28"/>
          <w:szCs w:val="28"/>
        </w:rPr>
        <w:t>L</w:t>
      </w:r>
      <w:r w:rsidRPr="00E53490">
        <w:rPr>
          <w:sz w:val="28"/>
          <w:szCs w:val="28"/>
        </w:rPr>
        <w:t>ai izvairītos no nepareizas normu piemērošanas</w:t>
      </w:r>
      <w:r>
        <w:rPr>
          <w:sz w:val="28"/>
          <w:szCs w:val="28"/>
        </w:rPr>
        <w:t>, kā arī</w:t>
      </w:r>
      <w:r w:rsidRPr="00E53490">
        <w:rPr>
          <w:sz w:val="28"/>
          <w:szCs w:val="28"/>
        </w:rPr>
        <w:t>, lai nerastos divdomīgas, neskaidras situācijas, autors ierosina papildināt KPL 262.p.3.d. ar sekojošiem vārdiem:</w:t>
      </w:r>
    </w:p>
    <w:p w:rsidR="007A0BB2" w:rsidRPr="00E858F8" w:rsidRDefault="007A0BB2" w:rsidP="007A0BB2">
      <w:pPr>
        <w:pStyle w:val="naisf"/>
        <w:spacing w:before="0" w:beforeAutospacing="0" w:after="0" w:afterAutospacing="0"/>
        <w:jc w:val="both"/>
        <w:rPr>
          <w:i/>
          <w:sz w:val="28"/>
          <w:szCs w:val="28"/>
          <w:lang w:val="lv-LV"/>
        </w:rPr>
      </w:pPr>
      <w:r w:rsidRPr="00E858F8">
        <w:rPr>
          <w:i/>
          <w:sz w:val="28"/>
          <w:szCs w:val="28"/>
          <w:lang w:val="lv-LV"/>
        </w:rPr>
        <w:t>‘’Izmeklēšanas tiesnesis skatot sūdzību, vērtē procesa virzītāja pieņemtā lēmuma pamatotību.’’</w:t>
      </w:r>
    </w:p>
    <w:bookmarkEnd w:id="8"/>
    <w:bookmarkEnd w:id="9"/>
    <w:p w:rsidR="007A0BB2" w:rsidRPr="00821D19" w:rsidRDefault="007A0BB2" w:rsidP="007A0BB2">
      <w:pPr>
        <w:pStyle w:val="naisf"/>
        <w:spacing w:before="0" w:beforeAutospacing="0" w:after="0" w:afterAutospacing="0"/>
        <w:jc w:val="both"/>
        <w:rPr>
          <w:sz w:val="28"/>
          <w:szCs w:val="28"/>
          <w:lang w:val="lv-LV"/>
        </w:rPr>
      </w:pPr>
      <w:r w:rsidRPr="00E858F8">
        <w:rPr>
          <w:sz w:val="28"/>
          <w:szCs w:val="28"/>
          <w:lang w:val="lv-LV"/>
        </w:rPr>
        <w:t>(3) Izmeklēšanas tiesnesis sūdzību izskata rakstveida procesā triju darba dienu laikā. Ja nepieciešams, tiesnesis pieprasa lietas materiālus un procesa virzītāja vai sūdzības iesniedzēja paskaidrojumus.</w:t>
      </w:r>
    </w:p>
    <w:p w:rsidR="007A0BB2" w:rsidRDefault="007A0BB2" w:rsidP="007A0BB2">
      <w:pPr>
        <w:jc w:val="both"/>
        <w:rPr>
          <w:b/>
          <w:bCs/>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jc w:val="center"/>
        <w:rPr>
          <w:b/>
          <w:sz w:val="28"/>
          <w:szCs w:val="28"/>
        </w:rPr>
      </w:pPr>
    </w:p>
    <w:p w:rsidR="007A0BB2" w:rsidRDefault="007A0BB2" w:rsidP="007A0BB2">
      <w:pPr>
        <w:jc w:val="center"/>
        <w:rPr>
          <w:b/>
          <w:sz w:val="28"/>
          <w:szCs w:val="28"/>
        </w:rPr>
      </w:pPr>
    </w:p>
    <w:p w:rsidR="007A0BB2" w:rsidRDefault="007A0BB2" w:rsidP="007A0BB2">
      <w:pPr>
        <w:jc w:val="center"/>
        <w:rPr>
          <w:b/>
          <w:sz w:val="28"/>
          <w:szCs w:val="28"/>
        </w:rPr>
      </w:pPr>
    </w:p>
    <w:p w:rsidR="007A0BB2" w:rsidRPr="00A77169" w:rsidRDefault="007A0BB2" w:rsidP="007A0BB2">
      <w:pPr>
        <w:jc w:val="center"/>
        <w:rPr>
          <w:b/>
          <w:sz w:val="28"/>
          <w:szCs w:val="28"/>
        </w:rPr>
      </w:pPr>
      <w:r w:rsidRPr="00A77169">
        <w:rPr>
          <w:b/>
          <w:sz w:val="28"/>
          <w:szCs w:val="28"/>
        </w:rPr>
        <w:lastRenderedPageBreak/>
        <w:t>SECINĀJUMI UN PRIEKŠLIKUMI</w:t>
      </w:r>
    </w:p>
    <w:p w:rsidR="007A0BB2" w:rsidRPr="00A77169" w:rsidRDefault="007A0BB2" w:rsidP="007A0BB2">
      <w:pPr>
        <w:rPr>
          <w:sz w:val="28"/>
          <w:szCs w:val="28"/>
        </w:rPr>
      </w:pPr>
    </w:p>
    <w:p w:rsidR="007A0BB2" w:rsidRPr="00A77169" w:rsidRDefault="007A0BB2" w:rsidP="007A0BB2">
      <w:pPr>
        <w:jc w:val="both"/>
        <w:rPr>
          <w:sz w:val="28"/>
          <w:szCs w:val="28"/>
        </w:rPr>
      </w:pPr>
      <w:r w:rsidRPr="00A77169">
        <w:rPr>
          <w:sz w:val="28"/>
          <w:szCs w:val="28"/>
        </w:rPr>
        <w:t>Pētījuma rezultātā autors izvirza aizstāvēšanai šādus secinājumus un priekšlikumus:</w:t>
      </w:r>
    </w:p>
    <w:p w:rsidR="007A0BB2" w:rsidRPr="00A77169" w:rsidRDefault="007A0BB2" w:rsidP="007A0BB2">
      <w:pPr>
        <w:jc w:val="both"/>
        <w:rPr>
          <w:sz w:val="28"/>
          <w:szCs w:val="28"/>
        </w:rPr>
      </w:pPr>
      <w:r w:rsidRPr="00A77169">
        <w:rPr>
          <w:sz w:val="28"/>
          <w:szCs w:val="28"/>
        </w:rPr>
        <w:t xml:space="preserve">1. Lai novērstu </w:t>
      </w:r>
      <w:r>
        <w:rPr>
          <w:sz w:val="28"/>
          <w:szCs w:val="28"/>
        </w:rPr>
        <w:t>procesa virzītāju</w:t>
      </w:r>
      <w:r w:rsidRPr="00A77169">
        <w:rPr>
          <w:sz w:val="28"/>
          <w:szCs w:val="28"/>
        </w:rPr>
        <w:t xml:space="preserve"> vēršanos pie izmeklēšanas tiesneša ar </w:t>
      </w:r>
      <w:r>
        <w:rPr>
          <w:sz w:val="28"/>
          <w:szCs w:val="28"/>
        </w:rPr>
        <w:t>nepamatotiem</w:t>
      </w:r>
      <w:r w:rsidRPr="00A77169">
        <w:rPr>
          <w:sz w:val="28"/>
          <w:szCs w:val="28"/>
        </w:rPr>
        <w:t xml:space="preserve"> ierosinājumiem par apcietinājuma piemērošanu, autors ierosina  aizstāt KPL 241.p.2.d. vārdus ‘’ja ir pamats uzskatīt’’ ar vārdiem</w:t>
      </w:r>
      <w:r>
        <w:rPr>
          <w:sz w:val="28"/>
          <w:szCs w:val="28"/>
        </w:rPr>
        <w:t>,</w:t>
      </w:r>
      <w:r w:rsidRPr="00A77169">
        <w:rPr>
          <w:sz w:val="28"/>
          <w:szCs w:val="28"/>
        </w:rPr>
        <w:t xml:space="preserve"> ‘’ja kriminālprocesā ir iegūti pierādījumi, kas norāda’’ vai izteikt KPL 241.p.2.d. šādā redakcijā:</w:t>
      </w:r>
    </w:p>
    <w:p w:rsidR="007A0BB2" w:rsidRDefault="007A0BB2" w:rsidP="007A0BB2">
      <w:pPr>
        <w:jc w:val="both"/>
        <w:rPr>
          <w:sz w:val="28"/>
          <w:szCs w:val="28"/>
        </w:rPr>
      </w:pPr>
      <w:r w:rsidRPr="00A77169">
        <w:rPr>
          <w:sz w:val="28"/>
          <w:szCs w:val="28"/>
        </w:rPr>
        <w:t xml:space="preserve">‘’(2) Drošības līdzekli kā procesuālo piespiedu līdzekli piemēro aizdomās turētajam vai apsūdzētajam, </w:t>
      </w:r>
      <w:r w:rsidRPr="00A77169">
        <w:rPr>
          <w:i/>
          <w:sz w:val="28"/>
          <w:szCs w:val="28"/>
        </w:rPr>
        <w:t>ja kriminālprocesā ir iegūti pierādījumi, kas norāda</w:t>
      </w:r>
      <w:r w:rsidRPr="00A77169">
        <w:rPr>
          <w:sz w:val="28"/>
          <w:szCs w:val="28"/>
        </w:rPr>
        <w:t>, ka attiecīgā persona turpinās noziedzīgās darbības, izvairīsies no izmeklēšanas un tiesas.’’</w:t>
      </w:r>
    </w:p>
    <w:p w:rsidR="007A0BB2" w:rsidRPr="00A77169" w:rsidRDefault="007A0BB2" w:rsidP="007A0BB2">
      <w:pPr>
        <w:jc w:val="both"/>
        <w:rPr>
          <w:sz w:val="28"/>
          <w:szCs w:val="28"/>
        </w:rPr>
      </w:pPr>
      <w:r w:rsidRPr="00A77169">
        <w:rPr>
          <w:sz w:val="28"/>
          <w:szCs w:val="28"/>
        </w:rPr>
        <w:t>2.</w:t>
      </w:r>
      <w:r>
        <w:rPr>
          <w:sz w:val="28"/>
          <w:szCs w:val="28"/>
        </w:rPr>
        <w:t xml:space="preserve"> Lai izslēgtu </w:t>
      </w:r>
      <w:r w:rsidRPr="00A77169">
        <w:rPr>
          <w:sz w:val="28"/>
          <w:szCs w:val="28"/>
        </w:rPr>
        <w:t>nepamatotu lēmumu pieņemšanu gan no procesa virzītāja gan no izmeklēšanas tiesneša puses, un izslēgtu nelikumīgu aizdomās turētās vai ap</w:t>
      </w:r>
      <w:r>
        <w:rPr>
          <w:sz w:val="28"/>
          <w:szCs w:val="28"/>
        </w:rPr>
        <w:t>sūdzētas personas apcietināšanu,</w:t>
      </w:r>
      <w:r w:rsidRPr="00A77169">
        <w:rPr>
          <w:sz w:val="28"/>
          <w:szCs w:val="28"/>
        </w:rPr>
        <w:t xml:space="preserve"> </w:t>
      </w:r>
      <w:r>
        <w:rPr>
          <w:sz w:val="28"/>
          <w:szCs w:val="28"/>
        </w:rPr>
        <w:t>autors ierosina</w:t>
      </w:r>
      <w:r w:rsidRPr="00A77169">
        <w:rPr>
          <w:sz w:val="28"/>
          <w:szCs w:val="28"/>
        </w:rPr>
        <w:t xml:space="preserve"> papildināt KPL 245.panta ‘’Lēmums par procesuālā piespiedu līdzekļa piemērošanu’’ 1.daļu ar 7.punktu šādā redakcijā:</w:t>
      </w:r>
    </w:p>
    <w:p w:rsidR="007A0BB2" w:rsidRPr="00A77169" w:rsidRDefault="007A0BB2" w:rsidP="007A0BB2">
      <w:pPr>
        <w:jc w:val="both"/>
        <w:rPr>
          <w:sz w:val="28"/>
          <w:szCs w:val="28"/>
        </w:rPr>
      </w:pPr>
      <w:r w:rsidRPr="00A77169">
        <w:rPr>
          <w:sz w:val="28"/>
          <w:szCs w:val="28"/>
        </w:rPr>
        <w:t xml:space="preserve"> ‘’7) pierādījumi, kas pamato piespiedu līdzekļa piemērošanu.’’</w:t>
      </w:r>
    </w:p>
    <w:p w:rsidR="007A0BB2" w:rsidRPr="00A77169" w:rsidRDefault="007A0BB2" w:rsidP="007A0BB2">
      <w:pPr>
        <w:jc w:val="both"/>
        <w:rPr>
          <w:sz w:val="28"/>
          <w:szCs w:val="28"/>
        </w:rPr>
      </w:pPr>
      <w:r>
        <w:rPr>
          <w:sz w:val="28"/>
          <w:szCs w:val="28"/>
        </w:rPr>
        <w:t>Tas izslēgtu nevajadzīgu un neracionālu</w:t>
      </w:r>
      <w:r w:rsidRPr="00A77169">
        <w:rPr>
          <w:sz w:val="28"/>
          <w:szCs w:val="28"/>
        </w:rPr>
        <w:t xml:space="preserve"> izmeklēša</w:t>
      </w:r>
      <w:r>
        <w:rPr>
          <w:sz w:val="28"/>
          <w:szCs w:val="28"/>
        </w:rPr>
        <w:t>nas tiesnešu lēmumu pārsūdzēšanu</w:t>
      </w:r>
      <w:r w:rsidRPr="00A77169">
        <w:rPr>
          <w:sz w:val="28"/>
          <w:szCs w:val="28"/>
        </w:rPr>
        <w:t xml:space="preserve"> gan no aizstāvības, gan no procesa virzītāja puses. </w:t>
      </w:r>
    </w:p>
    <w:p w:rsidR="007A0BB2" w:rsidRPr="00A77169" w:rsidRDefault="007A0BB2" w:rsidP="007A0BB2">
      <w:pPr>
        <w:jc w:val="both"/>
        <w:rPr>
          <w:sz w:val="28"/>
          <w:szCs w:val="28"/>
        </w:rPr>
      </w:pPr>
      <w:r w:rsidRPr="00A77169">
        <w:rPr>
          <w:sz w:val="28"/>
          <w:szCs w:val="28"/>
        </w:rPr>
        <w:t>3. Autors ierosina izteikt KPL 274.panta 5.daļu šādā redakcijā:</w:t>
      </w:r>
    </w:p>
    <w:p w:rsidR="007A0BB2" w:rsidRPr="00A77169" w:rsidRDefault="007A0BB2" w:rsidP="007A0BB2">
      <w:pPr>
        <w:pStyle w:val="naisf"/>
        <w:spacing w:before="0" w:beforeAutospacing="0" w:after="0" w:afterAutospacing="0"/>
        <w:jc w:val="both"/>
        <w:rPr>
          <w:sz w:val="28"/>
          <w:szCs w:val="28"/>
          <w:lang w:val="lv-LV"/>
        </w:rPr>
      </w:pPr>
      <w:r w:rsidRPr="00A77169">
        <w:rPr>
          <w:sz w:val="28"/>
          <w:szCs w:val="28"/>
          <w:lang w:val="lv-LV"/>
        </w:rPr>
        <w:t>(5) ‘’Izmeklēšanas tiesnesis lēmumā pamato apcietinājumu vai citu drošības līdzekļa piemērošanu ar konkrētiem pierādījumiem, kas ir balstīti uz lietas materiāliem.’’</w:t>
      </w:r>
    </w:p>
    <w:p w:rsidR="007A0BB2" w:rsidRPr="00A77169" w:rsidRDefault="007A0BB2" w:rsidP="007A0BB2">
      <w:pPr>
        <w:jc w:val="both"/>
        <w:rPr>
          <w:sz w:val="28"/>
          <w:szCs w:val="28"/>
        </w:rPr>
      </w:pPr>
      <w:r w:rsidRPr="00A77169">
        <w:rPr>
          <w:sz w:val="28"/>
          <w:szCs w:val="28"/>
        </w:rPr>
        <w:t xml:space="preserve">4. </w:t>
      </w:r>
      <w:r>
        <w:rPr>
          <w:sz w:val="28"/>
          <w:szCs w:val="28"/>
        </w:rPr>
        <w:t>Autors vēlās vērst uzmanību</w:t>
      </w:r>
      <w:r w:rsidRPr="00A77169">
        <w:rPr>
          <w:sz w:val="28"/>
          <w:szCs w:val="28"/>
        </w:rPr>
        <w:t xml:space="preserve"> </w:t>
      </w:r>
      <w:r>
        <w:rPr>
          <w:sz w:val="28"/>
          <w:szCs w:val="28"/>
        </w:rPr>
        <w:t>uz</w:t>
      </w:r>
      <w:r w:rsidRPr="00A77169">
        <w:rPr>
          <w:sz w:val="28"/>
          <w:szCs w:val="28"/>
        </w:rPr>
        <w:t xml:space="preserve"> </w:t>
      </w:r>
      <w:r>
        <w:rPr>
          <w:sz w:val="28"/>
          <w:szCs w:val="28"/>
        </w:rPr>
        <w:t>Krievijas Federācijas tiesību speciālistu atziņu, ka ‘’</w:t>
      </w:r>
      <w:r w:rsidRPr="00A77169">
        <w:rPr>
          <w:sz w:val="28"/>
          <w:szCs w:val="28"/>
        </w:rPr>
        <w:t xml:space="preserve">mūsdienīga  civilizēta </w:t>
      </w:r>
      <w:r>
        <w:rPr>
          <w:sz w:val="28"/>
          <w:szCs w:val="28"/>
        </w:rPr>
        <w:t>krimināl</w:t>
      </w:r>
      <w:r w:rsidRPr="00A77169">
        <w:rPr>
          <w:sz w:val="28"/>
          <w:szCs w:val="28"/>
        </w:rPr>
        <w:t>procesa pamatā</w:t>
      </w:r>
      <w:r>
        <w:rPr>
          <w:sz w:val="28"/>
          <w:szCs w:val="28"/>
        </w:rPr>
        <w:t xml:space="preserve"> ir sacīkstes princips. ‘’ Krimināl</w:t>
      </w:r>
      <w:r w:rsidRPr="00A77169">
        <w:rPr>
          <w:sz w:val="28"/>
          <w:szCs w:val="28"/>
        </w:rPr>
        <w:t xml:space="preserve">procesa </w:t>
      </w:r>
      <w:r>
        <w:rPr>
          <w:sz w:val="28"/>
          <w:szCs w:val="28"/>
        </w:rPr>
        <w:t xml:space="preserve">pamatā ir pušu vienlīdzīga līdz </w:t>
      </w:r>
      <w:r w:rsidRPr="00A77169">
        <w:rPr>
          <w:sz w:val="28"/>
          <w:szCs w:val="28"/>
        </w:rPr>
        <w:t xml:space="preserve">pastāvēšana, kur pienākumi neprevalē pār tiesībām. </w:t>
      </w:r>
    </w:p>
    <w:p w:rsidR="007A0BB2" w:rsidRPr="00A77169" w:rsidRDefault="007A0BB2" w:rsidP="007A0BB2">
      <w:pPr>
        <w:jc w:val="both"/>
        <w:rPr>
          <w:sz w:val="28"/>
          <w:szCs w:val="28"/>
        </w:rPr>
      </w:pPr>
      <w:r w:rsidRPr="00A77169">
        <w:rPr>
          <w:sz w:val="28"/>
          <w:szCs w:val="28"/>
        </w:rPr>
        <w:t>Lai ievērotu fundamentālas aizdomās turētās un apsūdzētās personas tiesība</w:t>
      </w:r>
      <w:r>
        <w:rPr>
          <w:sz w:val="28"/>
          <w:szCs w:val="28"/>
        </w:rPr>
        <w:t>s uz aizstāvību, ņemot vērā ECT</w:t>
      </w:r>
      <w:r w:rsidRPr="00A77169">
        <w:rPr>
          <w:sz w:val="28"/>
          <w:szCs w:val="28"/>
        </w:rPr>
        <w:t xml:space="preserve"> praksi, </w:t>
      </w:r>
      <w:r>
        <w:rPr>
          <w:sz w:val="28"/>
          <w:szCs w:val="28"/>
        </w:rPr>
        <w:t>autors ierosina</w:t>
      </w:r>
      <w:r w:rsidRPr="00A77169">
        <w:rPr>
          <w:sz w:val="28"/>
          <w:szCs w:val="28"/>
        </w:rPr>
        <w:t xml:space="preserve"> papildināt KPL 19.pantu ar jaunu 4.daļu šādā redakcijā:</w:t>
      </w:r>
    </w:p>
    <w:p w:rsidR="007A0BB2" w:rsidRPr="00096CE3" w:rsidRDefault="007A0BB2" w:rsidP="007A0BB2">
      <w:pPr>
        <w:jc w:val="both"/>
        <w:rPr>
          <w:sz w:val="28"/>
          <w:szCs w:val="28"/>
        </w:rPr>
      </w:pPr>
      <w:r w:rsidRPr="00096CE3">
        <w:rPr>
          <w:sz w:val="28"/>
          <w:szCs w:val="28"/>
        </w:rPr>
        <w:t xml:space="preserve">(4) Kriminālprocesā iesaistītās personas savas procesuālās tiesības realizē sacīkstes formā. </w:t>
      </w:r>
    </w:p>
    <w:p w:rsidR="007A0BB2" w:rsidRPr="00A77169" w:rsidRDefault="007A0BB2" w:rsidP="007A0BB2">
      <w:pPr>
        <w:pStyle w:val="naispant"/>
        <w:spacing w:before="0" w:after="0"/>
        <w:ind w:left="0" w:firstLine="0"/>
        <w:rPr>
          <w:b w:val="0"/>
          <w:sz w:val="28"/>
          <w:szCs w:val="28"/>
          <w:lang w:val="lv-LV"/>
        </w:rPr>
      </w:pPr>
      <w:r w:rsidRPr="00A77169">
        <w:rPr>
          <w:b w:val="0"/>
          <w:sz w:val="28"/>
          <w:szCs w:val="28"/>
          <w:lang w:val="lv-LV"/>
        </w:rPr>
        <w:t>5.</w:t>
      </w:r>
      <w:r w:rsidRPr="00A77169">
        <w:rPr>
          <w:sz w:val="28"/>
          <w:szCs w:val="28"/>
          <w:lang w:val="lv-LV"/>
        </w:rPr>
        <w:t xml:space="preserve"> </w:t>
      </w:r>
      <w:r w:rsidRPr="00A77169">
        <w:rPr>
          <w:b w:val="0"/>
          <w:sz w:val="28"/>
          <w:szCs w:val="28"/>
          <w:lang w:val="lv-LV"/>
        </w:rPr>
        <w:t>Lai praksē starp kriminālprocesā iesaistītām personām nerastos domstarpības un pārpratumi</w:t>
      </w:r>
      <w:r>
        <w:rPr>
          <w:b w:val="0"/>
          <w:sz w:val="28"/>
          <w:szCs w:val="28"/>
          <w:lang w:val="lv-LV"/>
        </w:rPr>
        <w:t>,</w:t>
      </w:r>
      <w:r w:rsidRPr="00A77169">
        <w:rPr>
          <w:b w:val="0"/>
          <w:sz w:val="28"/>
          <w:szCs w:val="28"/>
          <w:lang w:val="lv-LV"/>
        </w:rPr>
        <w:t xml:space="preserve"> interpretējot un piemērojot</w:t>
      </w:r>
      <w:r w:rsidRPr="00A77169">
        <w:rPr>
          <w:sz w:val="28"/>
          <w:szCs w:val="28"/>
          <w:lang w:val="lv-LV"/>
        </w:rPr>
        <w:t xml:space="preserve"> </w:t>
      </w:r>
      <w:r w:rsidRPr="00A77169">
        <w:rPr>
          <w:b w:val="0"/>
          <w:sz w:val="28"/>
          <w:szCs w:val="28"/>
          <w:lang w:val="lv-LV"/>
        </w:rPr>
        <w:t>KPL 246.panta 1.daļu un 2.daļu, autors ierosina izteikt KPL 246.panta 1.daļu šā</w:t>
      </w:r>
      <w:r>
        <w:rPr>
          <w:b w:val="0"/>
          <w:sz w:val="28"/>
          <w:szCs w:val="28"/>
          <w:lang w:val="lv-LV"/>
        </w:rPr>
        <w:t>dā redakcijā</w:t>
      </w:r>
      <w:r w:rsidRPr="00A77169">
        <w:rPr>
          <w:b w:val="0"/>
          <w:sz w:val="28"/>
          <w:szCs w:val="28"/>
          <w:lang w:val="lv-LV"/>
        </w:rPr>
        <w:t>:</w:t>
      </w:r>
    </w:p>
    <w:p w:rsidR="007A0BB2" w:rsidRPr="00A77169" w:rsidRDefault="007A0BB2" w:rsidP="007A0BB2">
      <w:pPr>
        <w:pStyle w:val="naisf"/>
        <w:spacing w:before="0" w:beforeAutospacing="0" w:after="0" w:afterAutospacing="0"/>
        <w:jc w:val="both"/>
        <w:rPr>
          <w:sz w:val="28"/>
          <w:szCs w:val="28"/>
          <w:lang w:val="lv-LV"/>
        </w:rPr>
      </w:pPr>
      <w:r w:rsidRPr="00A77169">
        <w:rPr>
          <w:sz w:val="28"/>
          <w:szCs w:val="28"/>
          <w:lang w:val="lv-LV"/>
        </w:rPr>
        <w:t xml:space="preserve">(1) </w:t>
      </w:r>
      <w:r w:rsidRPr="00A77169">
        <w:rPr>
          <w:i/>
          <w:sz w:val="28"/>
          <w:szCs w:val="28"/>
          <w:lang w:val="lv-LV"/>
        </w:rPr>
        <w:t>Persona</w:t>
      </w:r>
      <w:r>
        <w:rPr>
          <w:i/>
          <w:sz w:val="28"/>
          <w:szCs w:val="28"/>
          <w:lang w:val="lv-LV"/>
        </w:rPr>
        <w:t>,</w:t>
      </w:r>
      <w:r w:rsidRPr="00A77169">
        <w:rPr>
          <w:i/>
          <w:sz w:val="28"/>
          <w:szCs w:val="28"/>
          <w:lang w:val="lv-LV"/>
        </w:rPr>
        <w:t xml:space="preserve"> kura piemēro procesuālo piespiedu līdzekli,</w:t>
      </w:r>
      <w:r w:rsidRPr="00A77169">
        <w:rPr>
          <w:sz w:val="28"/>
          <w:szCs w:val="28"/>
          <w:lang w:val="lv-LV"/>
        </w:rPr>
        <w:t xml:space="preserve"> informē personu, kurai piespiedu līdzeklis tiek piemērots, par pieņemto lēmumu, kā arī izskaidro piespiedu līdzekļa būtību, saturu, pārsūdzības kārtību un piespiedu līdzekļa neievērošanas sekas.</w:t>
      </w:r>
    </w:p>
    <w:p w:rsidR="007A0BB2" w:rsidRPr="00A77169" w:rsidRDefault="007A0BB2" w:rsidP="007A0BB2">
      <w:pPr>
        <w:pStyle w:val="naisf"/>
        <w:spacing w:before="0" w:beforeAutospacing="0" w:after="0" w:afterAutospacing="0"/>
        <w:jc w:val="both"/>
        <w:rPr>
          <w:sz w:val="28"/>
          <w:szCs w:val="28"/>
          <w:lang w:val="lv-LV"/>
        </w:rPr>
      </w:pPr>
      <w:r w:rsidRPr="00A77169">
        <w:rPr>
          <w:sz w:val="28"/>
          <w:szCs w:val="28"/>
          <w:lang w:val="lv-LV"/>
        </w:rPr>
        <w:t xml:space="preserve">vai </w:t>
      </w:r>
    </w:p>
    <w:p w:rsidR="007A0BB2" w:rsidRPr="00A77169" w:rsidRDefault="007A0BB2" w:rsidP="007A0BB2">
      <w:pPr>
        <w:pStyle w:val="naisf"/>
        <w:spacing w:before="0" w:beforeAutospacing="0" w:after="0" w:afterAutospacing="0"/>
        <w:jc w:val="both"/>
        <w:rPr>
          <w:sz w:val="28"/>
          <w:szCs w:val="28"/>
          <w:lang w:val="lv-LV"/>
        </w:rPr>
      </w:pPr>
      <w:r w:rsidRPr="00A77169">
        <w:rPr>
          <w:sz w:val="28"/>
          <w:szCs w:val="28"/>
          <w:lang w:val="lv-LV"/>
        </w:rPr>
        <w:lastRenderedPageBreak/>
        <w:t xml:space="preserve">(1) </w:t>
      </w:r>
      <w:r w:rsidRPr="00A77169">
        <w:rPr>
          <w:i/>
          <w:sz w:val="28"/>
          <w:szCs w:val="28"/>
          <w:lang w:val="lv-LV"/>
        </w:rPr>
        <w:t>Persona</w:t>
      </w:r>
      <w:r>
        <w:rPr>
          <w:i/>
          <w:sz w:val="28"/>
          <w:szCs w:val="28"/>
          <w:lang w:val="lv-LV"/>
        </w:rPr>
        <w:t>,</w:t>
      </w:r>
      <w:r w:rsidRPr="00A77169">
        <w:rPr>
          <w:i/>
          <w:sz w:val="28"/>
          <w:szCs w:val="28"/>
          <w:lang w:val="lv-LV"/>
        </w:rPr>
        <w:t xml:space="preserve"> kura pieņem lēmumu par procesuālā piespiedu līdzekļa piemērošanu, informē personu, kurai ir tiesības uz aizstāvību</w:t>
      </w:r>
      <w:r w:rsidRPr="00A77169">
        <w:rPr>
          <w:sz w:val="28"/>
          <w:szCs w:val="28"/>
          <w:lang w:val="lv-LV"/>
        </w:rPr>
        <w:t>, par pieņemto lēmumu, kā arī izskaidro piespiedu līdzekļa būtību, saturu, pārsūdzības kārtību un piespiedu līdzekļa neievērošanas sekas.</w:t>
      </w:r>
    </w:p>
    <w:p w:rsidR="007A0BB2" w:rsidRPr="00A77169" w:rsidRDefault="007A0BB2" w:rsidP="007A0BB2">
      <w:pPr>
        <w:jc w:val="both"/>
        <w:rPr>
          <w:sz w:val="28"/>
          <w:szCs w:val="28"/>
        </w:rPr>
      </w:pPr>
      <w:r>
        <w:rPr>
          <w:sz w:val="28"/>
          <w:szCs w:val="28"/>
        </w:rPr>
        <w:t>6. L</w:t>
      </w:r>
      <w:r w:rsidRPr="00A77169">
        <w:rPr>
          <w:sz w:val="28"/>
          <w:szCs w:val="28"/>
        </w:rPr>
        <w:t>ai izvairītos no situācijām, kad procesa virzītājs vairakkārt ilgstošā laika periodā liedz personai, kura īsteno tiesības uz aizstāvību, iepazīties ar procesuālajiem dokumentiem, kas pamato procesuālā līdzekļa piemērošanu</w:t>
      </w:r>
      <w:r>
        <w:rPr>
          <w:sz w:val="28"/>
          <w:szCs w:val="28"/>
        </w:rPr>
        <w:t xml:space="preserve"> kā pamatu</w:t>
      </w:r>
      <w:r w:rsidRPr="00A77169">
        <w:rPr>
          <w:sz w:val="28"/>
          <w:szCs w:val="28"/>
        </w:rPr>
        <w:t xml:space="preserve"> minot vienus un tos pašus argumentus, kā piemēram, apdraud pirmstiesas izmeklēšanu, trešās personas, s</w:t>
      </w:r>
      <w:r>
        <w:rPr>
          <w:sz w:val="28"/>
          <w:szCs w:val="28"/>
        </w:rPr>
        <w:t>abiedrībai svarīgas intereses, ir nepieciešams radīt</w:t>
      </w:r>
      <w:r w:rsidRPr="00A77169">
        <w:rPr>
          <w:sz w:val="28"/>
          <w:szCs w:val="28"/>
        </w:rPr>
        <w:t xml:space="preserve"> mehānismu, lai  netiktu pārkāptas personas tiesības uz aizstāvību, sacīkstes, vienl</w:t>
      </w:r>
      <w:r>
        <w:rPr>
          <w:sz w:val="28"/>
          <w:szCs w:val="28"/>
        </w:rPr>
        <w:t>īdzības un samērīguma principi. A</w:t>
      </w:r>
      <w:r w:rsidRPr="00A77169">
        <w:rPr>
          <w:sz w:val="28"/>
          <w:szCs w:val="28"/>
        </w:rPr>
        <w:t>utors piedāvā papildināt  KPL 246.p. ar 3.daļu šādā redakcijā:</w:t>
      </w:r>
    </w:p>
    <w:p w:rsidR="007A0BB2" w:rsidRPr="00A77169" w:rsidRDefault="007A0BB2" w:rsidP="007A0BB2">
      <w:pPr>
        <w:jc w:val="both"/>
        <w:rPr>
          <w:i/>
          <w:sz w:val="28"/>
          <w:szCs w:val="28"/>
        </w:rPr>
      </w:pPr>
      <w:r w:rsidRPr="00A77169">
        <w:rPr>
          <w:sz w:val="28"/>
          <w:szCs w:val="28"/>
        </w:rPr>
        <w:t xml:space="preserve">(3) </w:t>
      </w:r>
      <w:r w:rsidRPr="00A77169">
        <w:rPr>
          <w:i/>
          <w:sz w:val="28"/>
          <w:szCs w:val="28"/>
        </w:rPr>
        <w:t>‘’Pieņemot lēmumu par atlikšanu iepazīties ar procesuālajiem dokumentiem, procesa virzītājam ir pienākums izvērtēt vai netiek pārkāptas aizdomās turētā vai apsūdzētā tiesības uz aizstāvību un vai tiek ievērots samērīguma princips.’’</w:t>
      </w:r>
    </w:p>
    <w:p w:rsidR="007A0BB2" w:rsidRPr="00A77169" w:rsidRDefault="007A0BB2" w:rsidP="007A0BB2">
      <w:pPr>
        <w:jc w:val="both"/>
        <w:rPr>
          <w:sz w:val="28"/>
          <w:szCs w:val="28"/>
        </w:rPr>
      </w:pPr>
      <w:r>
        <w:rPr>
          <w:sz w:val="28"/>
          <w:szCs w:val="28"/>
        </w:rPr>
        <w:t>7. L</w:t>
      </w:r>
      <w:r w:rsidRPr="00A77169">
        <w:rPr>
          <w:sz w:val="28"/>
          <w:szCs w:val="28"/>
        </w:rPr>
        <w:t>ai panāktu efektīvu izmeklēšanas tiesneša kontroli pār LR Satversmē noteikto un starptautiski atzīto cilvēktiesību ievērošanu pirmstiesas  procesā</w:t>
      </w:r>
      <w:r>
        <w:rPr>
          <w:sz w:val="28"/>
          <w:szCs w:val="28"/>
        </w:rPr>
        <w:t>,</w:t>
      </w:r>
      <w:r w:rsidRPr="00A77169">
        <w:rPr>
          <w:sz w:val="28"/>
          <w:szCs w:val="28"/>
        </w:rPr>
        <w:t xml:space="preserve"> ir nepieciešams paplašināt izmeklēšanas  tiesneša pilnvaras. Tādēļ būtu veicami šādi grozījumi, izteikt KPL 41.p.1.d.5.punktu šādā redakcijā:</w:t>
      </w:r>
    </w:p>
    <w:p w:rsidR="007A0BB2" w:rsidRPr="00A77169" w:rsidRDefault="007A0BB2" w:rsidP="007A0BB2">
      <w:pPr>
        <w:jc w:val="both"/>
        <w:rPr>
          <w:sz w:val="28"/>
          <w:szCs w:val="28"/>
        </w:rPr>
      </w:pPr>
      <w:r w:rsidRPr="00A77169">
        <w:rPr>
          <w:sz w:val="28"/>
          <w:szCs w:val="28"/>
        </w:rPr>
        <w:t xml:space="preserve">‘’(5) lemt par sūdzībām attiecībā uz pieļautajiem </w:t>
      </w:r>
      <w:r w:rsidRPr="00A77169">
        <w:rPr>
          <w:i/>
          <w:sz w:val="28"/>
          <w:szCs w:val="28"/>
        </w:rPr>
        <w:t>cilvēktiesību pārkāpumiem pirmstiesas kriminālprocesā</w:t>
      </w:r>
      <w:r w:rsidRPr="00A77169">
        <w:rPr>
          <w:sz w:val="28"/>
          <w:szCs w:val="28"/>
        </w:rPr>
        <w:t xml:space="preserve"> un privātās dzīves noslēpumu neattaisnotu pārkāpšanu </w:t>
      </w:r>
      <w:r>
        <w:rPr>
          <w:i/>
          <w:sz w:val="28"/>
          <w:szCs w:val="28"/>
        </w:rPr>
        <w:t xml:space="preserve">veicot </w:t>
      </w:r>
      <w:r w:rsidRPr="00A77169">
        <w:rPr>
          <w:i/>
          <w:sz w:val="28"/>
          <w:szCs w:val="28"/>
        </w:rPr>
        <w:t>izmeklēšanas darbības</w:t>
      </w:r>
      <w:r w:rsidRPr="00A77169">
        <w:rPr>
          <w:sz w:val="28"/>
          <w:szCs w:val="28"/>
        </w:rPr>
        <w:t>.’’</w:t>
      </w:r>
    </w:p>
    <w:p w:rsidR="007A0BB2" w:rsidRPr="00A77169" w:rsidRDefault="007A0BB2" w:rsidP="007A0BB2">
      <w:pPr>
        <w:jc w:val="both"/>
        <w:rPr>
          <w:sz w:val="28"/>
          <w:szCs w:val="28"/>
        </w:rPr>
      </w:pPr>
      <w:r w:rsidRPr="00A77169">
        <w:rPr>
          <w:sz w:val="28"/>
          <w:szCs w:val="28"/>
        </w:rPr>
        <w:t>Papildināt KPL 337.p.2.d. ar jaunu 4.punktu šādā redakcijā:</w:t>
      </w:r>
    </w:p>
    <w:p w:rsidR="007A0BB2" w:rsidRPr="00A77169" w:rsidRDefault="007A0BB2" w:rsidP="007A0BB2">
      <w:pPr>
        <w:jc w:val="both"/>
        <w:rPr>
          <w:sz w:val="28"/>
          <w:szCs w:val="28"/>
        </w:rPr>
      </w:pPr>
      <w:r w:rsidRPr="00A77169">
        <w:rPr>
          <w:sz w:val="28"/>
          <w:szCs w:val="28"/>
        </w:rPr>
        <w:t>‘’4) par pieļautajiem cilvēktiesību pārkāpumiem pirmstiesas kriminālprocesā – izmeklēšanas tiesnesim.’’</w:t>
      </w:r>
    </w:p>
    <w:p w:rsidR="007A0BB2" w:rsidRDefault="007A0BB2" w:rsidP="007A0BB2">
      <w:pPr>
        <w:jc w:val="both"/>
        <w:rPr>
          <w:sz w:val="28"/>
          <w:szCs w:val="28"/>
        </w:rPr>
      </w:pPr>
      <w:r>
        <w:rPr>
          <w:sz w:val="28"/>
          <w:szCs w:val="28"/>
        </w:rPr>
        <w:t xml:space="preserve">8. </w:t>
      </w:r>
      <w:r w:rsidRPr="00A77169">
        <w:rPr>
          <w:sz w:val="28"/>
          <w:szCs w:val="28"/>
        </w:rPr>
        <w:t xml:space="preserve">Autors ierosina  pārņemt </w:t>
      </w:r>
      <w:r w:rsidRPr="00E01A4B">
        <w:rPr>
          <w:sz w:val="28"/>
          <w:szCs w:val="28"/>
        </w:rPr>
        <w:t xml:space="preserve">Vācijas KPK 115.p.3.d. </w:t>
      </w:r>
      <w:r>
        <w:rPr>
          <w:sz w:val="28"/>
          <w:szCs w:val="28"/>
        </w:rPr>
        <w:t xml:space="preserve">ietverto </w:t>
      </w:r>
      <w:r w:rsidRPr="00E01A4B">
        <w:rPr>
          <w:sz w:val="28"/>
          <w:szCs w:val="28"/>
        </w:rPr>
        <w:t>normu</w:t>
      </w:r>
      <w:r w:rsidRPr="00A77169">
        <w:rPr>
          <w:sz w:val="28"/>
          <w:szCs w:val="28"/>
        </w:rPr>
        <w:t xml:space="preserve">, kurā ir noteikts, ka ‘’apsūdzētajai personai ir jādod iespēja atspēkot aizdomu un apcietināšanas iemeslus un pierādīt faktus, kas runātu personas aizstāvībai par labu.’’ </w:t>
      </w:r>
      <w:r>
        <w:rPr>
          <w:sz w:val="28"/>
          <w:szCs w:val="28"/>
        </w:rPr>
        <w:t>Šādas norma iekļaušana Latvijas KPL 274.p., sekmē</w:t>
      </w:r>
      <w:r w:rsidRPr="00A77169">
        <w:rPr>
          <w:sz w:val="28"/>
          <w:szCs w:val="28"/>
        </w:rPr>
        <w:t>t</w:t>
      </w:r>
      <w:r>
        <w:rPr>
          <w:sz w:val="28"/>
          <w:szCs w:val="28"/>
        </w:rPr>
        <w:t>u</w:t>
      </w:r>
      <w:r w:rsidRPr="00A77169">
        <w:rPr>
          <w:sz w:val="28"/>
          <w:szCs w:val="28"/>
        </w:rPr>
        <w:t xml:space="preserve"> realizēt apsūdzētā  </w:t>
      </w:r>
      <w:r>
        <w:rPr>
          <w:sz w:val="28"/>
          <w:szCs w:val="28"/>
        </w:rPr>
        <w:t>tiesības uz aizstāvību. Turklāt</w:t>
      </w:r>
      <w:r w:rsidRPr="00A77169">
        <w:rPr>
          <w:sz w:val="28"/>
          <w:szCs w:val="28"/>
        </w:rPr>
        <w:t>, lai varētu atspēkot aizdomas un apcietināšanas iemeslus, personai ir jānodrošina iespēju iepazīties ar tiem materiāliem, kas ir iesniegti tiesā, pretējā gadījumā tādai normai ir deklaratīvs raksturs.</w:t>
      </w:r>
    </w:p>
    <w:p w:rsidR="007A0BB2" w:rsidRPr="00A77169" w:rsidRDefault="007A0BB2" w:rsidP="007A0BB2">
      <w:pPr>
        <w:jc w:val="both"/>
        <w:rPr>
          <w:sz w:val="28"/>
          <w:szCs w:val="28"/>
        </w:rPr>
      </w:pPr>
      <w:r>
        <w:rPr>
          <w:sz w:val="28"/>
          <w:szCs w:val="28"/>
        </w:rPr>
        <w:t xml:space="preserve">9. </w:t>
      </w:r>
      <w:r w:rsidRPr="00A77169">
        <w:rPr>
          <w:sz w:val="28"/>
          <w:szCs w:val="28"/>
        </w:rPr>
        <w:t>Vācijas KPK 117.p.3.d. ir noteikts, ka ‘’tiesnesis var dot rīkojumu par atsevišķu izmeklēšanas darbību veikšanu, kam ir nozīme turpmākā lēmuma pieņemšanai par apcietinājuma uz izmeklēšanas laiku pamatotību, un pēc šo izmeklēšanas darbību veikšanas veikt ja</w:t>
      </w:r>
      <w:r>
        <w:rPr>
          <w:sz w:val="28"/>
          <w:szCs w:val="28"/>
        </w:rPr>
        <w:t>unu pārbaudi.’’ Tā kā Latvijas</w:t>
      </w:r>
      <w:r w:rsidRPr="00A77169">
        <w:rPr>
          <w:sz w:val="28"/>
          <w:szCs w:val="28"/>
        </w:rPr>
        <w:t xml:space="preserve"> likumdevējs izmeklēšanas tiesnes</w:t>
      </w:r>
      <w:r>
        <w:rPr>
          <w:sz w:val="28"/>
          <w:szCs w:val="28"/>
        </w:rPr>
        <w:t>im šādas tiesības nav deleģējis,</w:t>
      </w:r>
      <w:r w:rsidRPr="00A77169">
        <w:rPr>
          <w:sz w:val="28"/>
          <w:szCs w:val="28"/>
        </w:rPr>
        <w:t xml:space="preserve"> </w:t>
      </w:r>
      <w:r>
        <w:rPr>
          <w:sz w:val="28"/>
          <w:szCs w:val="28"/>
        </w:rPr>
        <w:t>autors u</w:t>
      </w:r>
      <w:r w:rsidRPr="00A77169">
        <w:rPr>
          <w:sz w:val="28"/>
          <w:szCs w:val="28"/>
        </w:rPr>
        <w:t xml:space="preserve">zskatu, </w:t>
      </w:r>
      <w:r>
        <w:rPr>
          <w:sz w:val="28"/>
          <w:szCs w:val="28"/>
        </w:rPr>
        <w:t>ka šādas</w:t>
      </w:r>
      <w:r w:rsidRPr="00A77169">
        <w:rPr>
          <w:sz w:val="28"/>
          <w:szCs w:val="28"/>
        </w:rPr>
        <w:t xml:space="preserve"> normas aizgūšana, ļautu izmeklēšanas tiesnesim pastiprināti un vispusīgi veikt kontroli par turpmāko apcietinājuma nepieciešamības izvērtēšanu. Uz doto brīdi </w:t>
      </w:r>
      <w:r w:rsidRPr="00A77169">
        <w:rPr>
          <w:sz w:val="28"/>
          <w:szCs w:val="28"/>
        </w:rPr>
        <w:lastRenderedPageBreak/>
        <w:t>praksē ir izveidojusies situācija, ka apcietinājuma pārskatīšana notiek formāli, jo procesa virzītājam nav uzlikts par pienākumu iesniegt tiesai pierādījumus, ar kuriem būtu iespējams pamatot turpmāko apcietinājuma piemērošanu.</w:t>
      </w:r>
    </w:p>
    <w:p w:rsidR="007A0BB2" w:rsidRPr="00A77169" w:rsidRDefault="007A0BB2" w:rsidP="007A0BB2">
      <w:pPr>
        <w:jc w:val="both"/>
        <w:rPr>
          <w:b/>
          <w:bCs/>
          <w:color w:val="000000"/>
          <w:sz w:val="28"/>
          <w:szCs w:val="28"/>
        </w:rPr>
      </w:pPr>
      <w:r>
        <w:rPr>
          <w:sz w:val="28"/>
          <w:szCs w:val="28"/>
        </w:rPr>
        <w:t xml:space="preserve">10. </w:t>
      </w:r>
      <w:r w:rsidRPr="00A77169">
        <w:rPr>
          <w:sz w:val="28"/>
          <w:szCs w:val="28"/>
        </w:rPr>
        <w:t>Auto</w:t>
      </w:r>
      <w:r>
        <w:rPr>
          <w:sz w:val="28"/>
          <w:szCs w:val="28"/>
        </w:rPr>
        <w:t>rs  uzskatu, ka Lietuvas KPK</w:t>
      </w:r>
      <w:r w:rsidRPr="00A77169">
        <w:rPr>
          <w:sz w:val="28"/>
          <w:szCs w:val="28"/>
        </w:rPr>
        <w:t xml:space="preserve"> ir veiksmīgāk izmantots vārdu salikums, kas attiecas uz apcietinājuma pama</w:t>
      </w:r>
      <w:r>
        <w:rPr>
          <w:sz w:val="28"/>
          <w:szCs w:val="28"/>
        </w:rPr>
        <w:t>tu t.i. ‘’ir pamatots uzskats’’, bet</w:t>
      </w:r>
      <w:r w:rsidRPr="00A77169">
        <w:rPr>
          <w:sz w:val="28"/>
          <w:szCs w:val="28"/>
        </w:rPr>
        <w:t xml:space="preserve"> Latvijas KPL ‘’rada pamatotas aizdomas’’</w:t>
      </w:r>
      <w:r>
        <w:rPr>
          <w:sz w:val="28"/>
          <w:szCs w:val="28"/>
        </w:rPr>
        <w:t>.</w:t>
      </w:r>
      <w:r w:rsidRPr="00A77169">
        <w:rPr>
          <w:bCs/>
          <w:color w:val="000000"/>
          <w:sz w:val="28"/>
          <w:szCs w:val="28"/>
        </w:rPr>
        <w:t xml:space="preserve"> Ja </w:t>
      </w:r>
      <w:r>
        <w:rPr>
          <w:bCs/>
          <w:color w:val="000000"/>
          <w:sz w:val="28"/>
          <w:szCs w:val="28"/>
        </w:rPr>
        <w:t xml:space="preserve">lietā </w:t>
      </w:r>
      <w:r w:rsidRPr="00A77169">
        <w:rPr>
          <w:bCs/>
          <w:color w:val="000000"/>
          <w:sz w:val="28"/>
          <w:szCs w:val="28"/>
        </w:rPr>
        <w:t xml:space="preserve">ir savākti pierādījumi, tad tie var tikai dot pamatu uzskatīt, ka aizdomās turētais veiks kaut kādas prettiesiskas darbības, lai traucētu izmeklēšanu. Latvijas tiesu praksē bieži ‘’pamatotas aizdomas’’ tiek asociētas ar pieņēmumiem un pieļāvumiem, kas netiek balstīti uz pierādījumiem. Uzskatu, ka Latvijas KPL varētu aizgūt šo formulējumu, lai nerastos juridiskas dabas  pārpratumi. </w:t>
      </w:r>
    </w:p>
    <w:p w:rsidR="007A0BB2" w:rsidRPr="00A77169" w:rsidRDefault="007A0BB2" w:rsidP="007A0BB2">
      <w:pPr>
        <w:jc w:val="both"/>
        <w:rPr>
          <w:sz w:val="28"/>
          <w:szCs w:val="28"/>
        </w:rPr>
      </w:pPr>
      <w:r>
        <w:rPr>
          <w:sz w:val="28"/>
          <w:szCs w:val="28"/>
        </w:rPr>
        <w:t>11</w:t>
      </w:r>
      <w:r w:rsidRPr="00A77169">
        <w:rPr>
          <w:sz w:val="28"/>
          <w:szCs w:val="28"/>
        </w:rPr>
        <w:t xml:space="preserve">. Autors uzskata, ka </w:t>
      </w:r>
      <w:r>
        <w:rPr>
          <w:sz w:val="28"/>
          <w:szCs w:val="28"/>
        </w:rPr>
        <w:t xml:space="preserve">procesa virzītāja </w:t>
      </w:r>
      <w:r w:rsidRPr="00A77169">
        <w:rPr>
          <w:sz w:val="28"/>
          <w:szCs w:val="28"/>
        </w:rPr>
        <w:t>ierosinājumam, kas tiek pieskaitīts pie ‘’kriminālprocesuālajiem dokumentiem’’</w:t>
      </w:r>
      <w:r>
        <w:rPr>
          <w:sz w:val="28"/>
          <w:szCs w:val="28"/>
        </w:rPr>
        <w:t xml:space="preserve"> </w:t>
      </w:r>
      <w:r w:rsidRPr="00A77169">
        <w:rPr>
          <w:sz w:val="28"/>
          <w:szCs w:val="28"/>
        </w:rPr>
        <w:t>ir jābūt strikti reglamentētam, jo pamatojoties uz ierosinājumu izmeklēšanas tiesnesis izlemj</w:t>
      </w:r>
      <w:r>
        <w:rPr>
          <w:sz w:val="28"/>
          <w:szCs w:val="28"/>
        </w:rPr>
        <w:t>,</w:t>
      </w:r>
      <w:r w:rsidRPr="00A77169">
        <w:rPr>
          <w:sz w:val="28"/>
          <w:szCs w:val="28"/>
        </w:rPr>
        <w:t xml:space="preserve"> vai piemērot vai atteikt pašu stingrāko un cilvēktiesību ierobežojošāko drošības līdzekli -apcietinājumu. Autora skatījumā ierosinājuma sagatavošanai būtu jāatbilst tādiem pašiem stingri</w:t>
      </w:r>
      <w:r>
        <w:rPr>
          <w:sz w:val="28"/>
          <w:szCs w:val="28"/>
        </w:rPr>
        <w:t>em kritērijiem, kas ir noteikti</w:t>
      </w:r>
      <w:r w:rsidRPr="00A77169">
        <w:rPr>
          <w:sz w:val="28"/>
          <w:szCs w:val="28"/>
        </w:rPr>
        <w:t xml:space="preserve"> KPL 318.p. un 320.p</w:t>
      </w:r>
      <w:r>
        <w:rPr>
          <w:sz w:val="28"/>
          <w:szCs w:val="28"/>
        </w:rPr>
        <w:t>., noformējot motivētus lēmumus.</w:t>
      </w:r>
      <w:r w:rsidRPr="00A77169">
        <w:rPr>
          <w:sz w:val="28"/>
          <w:szCs w:val="28"/>
        </w:rPr>
        <w:t xml:space="preserve"> </w:t>
      </w:r>
      <w:r>
        <w:rPr>
          <w:sz w:val="28"/>
          <w:szCs w:val="28"/>
        </w:rPr>
        <w:t>P</w:t>
      </w:r>
      <w:r w:rsidRPr="00A77169">
        <w:rPr>
          <w:sz w:val="28"/>
          <w:szCs w:val="28"/>
        </w:rPr>
        <w:t>recīzi reglamentējot ierosinājuma formu un saturu, būtu iespējams panākt, ka procesa virzītājs tiktu atturēts no nepamatotas griešanās ar ierosinājumu pie i</w:t>
      </w:r>
      <w:r>
        <w:rPr>
          <w:sz w:val="28"/>
          <w:szCs w:val="28"/>
        </w:rPr>
        <w:t>zmeklēšanas tiesneša. V</w:t>
      </w:r>
      <w:r w:rsidRPr="00A77169">
        <w:rPr>
          <w:sz w:val="28"/>
          <w:szCs w:val="28"/>
        </w:rPr>
        <w:t>ajadzētu noteikt, ka pie ierosinājuma ir jāpievieno materiāli, kas apliecina ierosinājuma pamatojumu.</w:t>
      </w:r>
    </w:p>
    <w:p w:rsidR="007A0BB2" w:rsidRPr="00A77169" w:rsidRDefault="007A0BB2" w:rsidP="007A0BB2">
      <w:pPr>
        <w:jc w:val="both"/>
        <w:rPr>
          <w:sz w:val="28"/>
          <w:szCs w:val="28"/>
        </w:rPr>
      </w:pPr>
      <w:r>
        <w:rPr>
          <w:sz w:val="28"/>
          <w:szCs w:val="28"/>
        </w:rPr>
        <w:t>12</w:t>
      </w:r>
      <w:r w:rsidRPr="00A77169">
        <w:rPr>
          <w:sz w:val="28"/>
          <w:szCs w:val="28"/>
        </w:rPr>
        <w:t>.</w:t>
      </w:r>
      <w:r>
        <w:rPr>
          <w:bCs/>
          <w:color w:val="000000"/>
          <w:sz w:val="28"/>
          <w:szCs w:val="28"/>
        </w:rPr>
        <w:t xml:space="preserve"> </w:t>
      </w:r>
      <w:r>
        <w:rPr>
          <w:sz w:val="28"/>
          <w:szCs w:val="28"/>
        </w:rPr>
        <w:t>A</w:t>
      </w:r>
      <w:r w:rsidRPr="00A77169">
        <w:rPr>
          <w:sz w:val="28"/>
          <w:szCs w:val="28"/>
        </w:rPr>
        <w:t xml:space="preserve">utors uzskata, ka būtu </w:t>
      </w:r>
      <w:r>
        <w:rPr>
          <w:bCs/>
          <w:color w:val="000000"/>
          <w:sz w:val="28"/>
          <w:szCs w:val="28"/>
        </w:rPr>
        <w:t>ņemama</w:t>
      </w:r>
      <w:r w:rsidRPr="00A77169">
        <w:rPr>
          <w:bCs/>
          <w:color w:val="000000"/>
          <w:sz w:val="28"/>
          <w:szCs w:val="28"/>
        </w:rPr>
        <w:t xml:space="preserve"> vērā </w:t>
      </w:r>
      <w:r>
        <w:rPr>
          <w:bCs/>
          <w:color w:val="000000"/>
          <w:sz w:val="28"/>
          <w:szCs w:val="28"/>
        </w:rPr>
        <w:t>Lietuvas KPK 123. panta</w:t>
      </w:r>
      <w:r w:rsidRPr="00A77169">
        <w:rPr>
          <w:bCs/>
          <w:color w:val="000000"/>
          <w:sz w:val="28"/>
          <w:szCs w:val="28"/>
        </w:rPr>
        <w:t xml:space="preserve"> 5.punkta redakcija</w:t>
      </w:r>
      <w:r>
        <w:rPr>
          <w:bCs/>
          <w:color w:val="000000"/>
          <w:sz w:val="28"/>
          <w:szCs w:val="28"/>
        </w:rPr>
        <w:t>:</w:t>
      </w:r>
      <w:r w:rsidRPr="00A77169">
        <w:rPr>
          <w:sz w:val="28"/>
          <w:szCs w:val="28"/>
        </w:rPr>
        <w:t xml:space="preserve"> ‘’Pieņemot lēmumu par apcietinājuma piemērošanu vai atstājot šo lēmumu spēkā, tiesnesim ir tiesības uzdot prokuroram noteiktā termiņā savākt papildu materiālus. Pēc to saņemšanas tiesnesis drīkst lemt par apcietinājuma atstāšanu spēkā vai noteikt jaunu apcietinājuma termiņu, vai arī šo drošības līdzekli mainīt vai atcelt’’</w:t>
      </w:r>
      <w:r>
        <w:rPr>
          <w:bCs/>
          <w:color w:val="000000"/>
          <w:sz w:val="28"/>
          <w:szCs w:val="28"/>
        </w:rPr>
        <w:t>. Šādas normas saturu</w:t>
      </w:r>
      <w:r w:rsidRPr="00A77169">
        <w:rPr>
          <w:bCs/>
          <w:color w:val="000000"/>
          <w:sz w:val="28"/>
          <w:szCs w:val="28"/>
        </w:rPr>
        <w:t xml:space="preserve"> būtu nepieciešams ieviest arī mūsu KPL 274.p. Gadījumos, kad tiesai nav par kaut</w:t>
      </w:r>
      <w:r>
        <w:rPr>
          <w:bCs/>
          <w:color w:val="000000"/>
          <w:sz w:val="28"/>
          <w:szCs w:val="28"/>
        </w:rPr>
        <w:t xml:space="preserve"> ko pārliecība</w:t>
      </w:r>
      <w:r w:rsidRPr="00A77169">
        <w:rPr>
          <w:bCs/>
          <w:color w:val="000000"/>
          <w:sz w:val="28"/>
          <w:szCs w:val="28"/>
        </w:rPr>
        <w:t xml:space="preserve">, tai būtu tiesības uzdot  </w:t>
      </w:r>
      <w:r>
        <w:rPr>
          <w:sz w:val="28"/>
          <w:szCs w:val="28"/>
        </w:rPr>
        <w:t>procesa virzītājam</w:t>
      </w:r>
      <w:r w:rsidRPr="00A77169">
        <w:rPr>
          <w:sz w:val="28"/>
          <w:szCs w:val="28"/>
        </w:rPr>
        <w:t xml:space="preserve"> noteiktā termiņā savākt papildu materiālus t.i. pierādījumus. Pēc to saņemšanas tiesnesis drīkstētu lemt par apcietinājuma atstāšanu spēkā vai noteikt jaunu apcietinājuma termiņu, vai arī šo drošības līdzekli mainīt vai atcelt. Tādā veidā persona, kurai ir tiesības uz aizstāvību būtu aizsargāta no nepama</w:t>
      </w:r>
      <w:r>
        <w:rPr>
          <w:sz w:val="28"/>
          <w:szCs w:val="28"/>
        </w:rPr>
        <w:t>tota apcietinājuma piemērošanas un š</w:t>
      </w:r>
      <w:r w:rsidRPr="00A77169">
        <w:rPr>
          <w:sz w:val="28"/>
          <w:szCs w:val="28"/>
        </w:rPr>
        <w:t xml:space="preserve">āda norma pildītu ‘’filtra’’ funkcijas. </w:t>
      </w:r>
    </w:p>
    <w:p w:rsidR="007A0BB2" w:rsidRPr="00A77169" w:rsidRDefault="007A0BB2" w:rsidP="007A0BB2">
      <w:pPr>
        <w:jc w:val="both"/>
        <w:rPr>
          <w:sz w:val="28"/>
          <w:szCs w:val="28"/>
        </w:rPr>
      </w:pPr>
      <w:r>
        <w:rPr>
          <w:sz w:val="28"/>
          <w:szCs w:val="28"/>
        </w:rPr>
        <w:t>13</w:t>
      </w:r>
      <w:r w:rsidRPr="00A77169">
        <w:rPr>
          <w:sz w:val="28"/>
          <w:szCs w:val="28"/>
        </w:rPr>
        <w:t>.</w:t>
      </w:r>
      <w:r>
        <w:rPr>
          <w:bCs/>
          <w:color w:val="000000"/>
          <w:sz w:val="28"/>
          <w:szCs w:val="28"/>
        </w:rPr>
        <w:t xml:space="preserve"> </w:t>
      </w:r>
      <w:r w:rsidRPr="00A77169">
        <w:rPr>
          <w:bCs/>
          <w:color w:val="000000"/>
          <w:sz w:val="28"/>
          <w:szCs w:val="28"/>
        </w:rPr>
        <w:t xml:space="preserve">Latvijas KPL būtu nepieciešams izdalīt apcietinājuma termiņa pagarināšanas kārtību, nosakot tādu pašu kārtību kā Lietuvas KPK 127.p.3. un 4.d., kur noteikts, ka </w:t>
      </w:r>
      <w:r w:rsidRPr="00A77169">
        <w:rPr>
          <w:sz w:val="28"/>
          <w:szCs w:val="28"/>
        </w:rPr>
        <w:t>par apcietinājuma termiņa pagarināšanu pirmstiesas izmeklēšanas laikā prokuroram</w:t>
      </w:r>
      <w:r w:rsidRPr="00A77169">
        <w:rPr>
          <w:bCs/>
          <w:color w:val="000000"/>
          <w:sz w:val="28"/>
          <w:szCs w:val="28"/>
        </w:rPr>
        <w:t xml:space="preserve"> jāgriežas pie izmeklēšanas </w:t>
      </w:r>
      <w:r w:rsidRPr="00A77169">
        <w:rPr>
          <w:bCs/>
          <w:color w:val="000000"/>
          <w:sz w:val="28"/>
          <w:szCs w:val="28"/>
        </w:rPr>
        <w:lastRenderedPageBreak/>
        <w:t xml:space="preserve">tiesneša. </w:t>
      </w:r>
      <w:r w:rsidRPr="00A77169">
        <w:rPr>
          <w:sz w:val="28"/>
          <w:szCs w:val="28"/>
        </w:rPr>
        <w:t>Prokurora</w:t>
      </w:r>
      <w:r>
        <w:rPr>
          <w:sz w:val="28"/>
          <w:szCs w:val="28"/>
        </w:rPr>
        <w:t>m</w:t>
      </w:r>
      <w:r w:rsidRPr="00A77169">
        <w:rPr>
          <w:sz w:val="28"/>
          <w:szCs w:val="28"/>
        </w:rPr>
        <w:t xml:space="preserve"> iesniegumā jānorāda iemesli, kāpēc lieta uzskatāma par īpaši sarežģītu vai par liela apjoma, un jāmin galvenās pirmstiesas izmeklēšanas darbības, kas veiktas pēc apcietinājuma piemērošanas vai pēc apcietinājuma</w:t>
      </w:r>
      <w:r>
        <w:rPr>
          <w:sz w:val="28"/>
          <w:szCs w:val="28"/>
        </w:rPr>
        <w:t xml:space="preserve"> termiņa pēdējās pagarināšanas. </w:t>
      </w:r>
      <w:r w:rsidRPr="00A77169">
        <w:rPr>
          <w:sz w:val="28"/>
          <w:szCs w:val="28"/>
        </w:rPr>
        <w:t>Tas veicinātu cilvēktiesību ievērošanu attiecībā pret apsūdzēto vai aizdomās turēto, jo procesa virzītājam ir pienākums piestādīt jaunus faktus,  pierādīt ar procesuālajiem dokumentiem personas nepieciešamību turpināt atrasties apcietinājumā.</w:t>
      </w:r>
    </w:p>
    <w:p w:rsidR="007A0BB2" w:rsidRPr="00A77169" w:rsidRDefault="007A0BB2" w:rsidP="007A0BB2">
      <w:pPr>
        <w:jc w:val="both"/>
        <w:rPr>
          <w:sz w:val="28"/>
          <w:szCs w:val="28"/>
        </w:rPr>
      </w:pPr>
      <w:r>
        <w:rPr>
          <w:sz w:val="28"/>
          <w:szCs w:val="28"/>
        </w:rPr>
        <w:t>14</w:t>
      </w:r>
      <w:r w:rsidRPr="00A77169">
        <w:rPr>
          <w:sz w:val="28"/>
          <w:szCs w:val="28"/>
        </w:rPr>
        <w:t xml:space="preserve">. </w:t>
      </w:r>
      <w:r>
        <w:rPr>
          <w:sz w:val="28"/>
          <w:szCs w:val="28"/>
        </w:rPr>
        <w:t xml:space="preserve">Autors ierosina precizēt </w:t>
      </w:r>
      <w:r>
        <w:rPr>
          <w:bCs/>
          <w:sz w:val="28"/>
          <w:szCs w:val="28"/>
        </w:rPr>
        <w:t xml:space="preserve">Latvijas KPL 275.pantu un uzskaitīt </w:t>
      </w:r>
      <w:r w:rsidRPr="00A77169">
        <w:rPr>
          <w:sz w:val="28"/>
          <w:szCs w:val="28"/>
        </w:rPr>
        <w:t>apstākļus, kas liecinātu par iespēju pe</w:t>
      </w:r>
      <w:r>
        <w:rPr>
          <w:sz w:val="28"/>
          <w:szCs w:val="28"/>
        </w:rPr>
        <w:t>rsonai piemērot drošības naudu, kā arī</w:t>
      </w:r>
      <w:r w:rsidRPr="00A77169">
        <w:rPr>
          <w:sz w:val="28"/>
          <w:szCs w:val="28"/>
        </w:rPr>
        <w:t xml:space="preserve"> noteikt kritērijus, pēc kuriem būtu jāvadās nosakot drošības naudas apmēru. Praksē tas atvieglotu</w:t>
      </w:r>
      <w:r>
        <w:rPr>
          <w:sz w:val="28"/>
          <w:szCs w:val="28"/>
        </w:rPr>
        <w:t xml:space="preserve"> izmeklēšanas tiesnesim</w:t>
      </w:r>
      <w:r w:rsidRPr="00A77169">
        <w:rPr>
          <w:sz w:val="28"/>
          <w:szCs w:val="28"/>
        </w:rPr>
        <w:t xml:space="preserve"> normas piemērošanu</w:t>
      </w:r>
      <w:r>
        <w:rPr>
          <w:sz w:val="28"/>
          <w:szCs w:val="28"/>
        </w:rPr>
        <w:t xml:space="preserve">, bet </w:t>
      </w:r>
      <w:r w:rsidRPr="00A77169">
        <w:rPr>
          <w:sz w:val="28"/>
          <w:szCs w:val="28"/>
        </w:rPr>
        <w:t>pārejām procesā iesaistītām personām būtu skaidri tie kritēriji, kas ir  vērtēti un ņemti vērā.</w:t>
      </w:r>
    </w:p>
    <w:p w:rsidR="007A0BB2" w:rsidRPr="00A77169" w:rsidRDefault="007A0BB2" w:rsidP="007A0BB2">
      <w:pPr>
        <w:jc w:val="both"/>
        <w:rPr>
          <w:sz w:val="28"/>
          <w:szCs w:val="28"/>
        </w:rPr>
      </w:pPr>
      <w:r w:rsidRPr="00A77169">
        <w:rPr>
          <w:sz w:val="28"/>
          <w:szCs w:val="28"/>
        </w:rPr>
        <w:t>15. Iza</w:t>
      </w:r>
      <w:r>
        <w:rPr>
          <w:sz w:val="28"/>
          <w:szCs w:val="28"/>
        </w:rPr>
        <w:t>nalizējot dažādu instanču tiesu</w:t>
      </w:r>
      <w:r w:rsidRPr="00A77169">
        <w:rPr>
          <w:sz w:val="28"/>
          <w:szCs w:val="28"/>
        </w:rPr>
        <w:t xml:space="preserve"> pieņemtos lēmumus, </w:t>
      </w:r>
      <w:r>
        <w:rPr>
          <w:sz w:val="28"/>
          <w:szCs w:val="28"/>
        </w:rPr>
        <w:t xml:space="preserve">LR </w:t>
      </w:r>
      <w:r w:rsidRPr="00A77169">
        <w:rPr>
          <w:sz w:val="28"/>
          <w:szCs w:val="28"/>
        </w:rPr>
        <w:t>Tiesībsarga u</w:t>
      </w:r>
      <w:r>
        <w:rPr>
          <w:sz w:val="28"/>
          <w:szCs w:val="28"/>
        </w:rPr>
        <w:t xml:space="preserve">n TM viedokļus, autors ierosina </w:t>
      </w:r>
      <w:r w:rsidRPr="00A77169">
        <w:rPr>
          <w:sz w:val="28"/>
          <w:szCs w:val="28"/>
        </w:rPr>
        <w:t>KPL ietvert normu, kas strikti noteiktu, ka ‘’Apcietinājuma turēšanas kārtības likums’’ attiecas ti</w:t>
      </w:r>
      <w:r>
        <w:rPr>
          <w:sz w:val="28"/>
          <w:szCs w:val="28"/>
        </w:rPr>
        <w:t>kai un vienīgi uz personām, kurai</w:t>
      </w:r>
      <w:r w:rsidRPr="00A77169">
        <w:rPr>
          <w:sz w:val="28"/>
          <w:szCs w:val="28"/>
        </w:rPr>
        <w:t xml:space="preserve"> izmeklēšanas tiesnesis ir piemērojis apcietinājumu. Autors piedāvā izteikts KPL 271.p.4.d. šādā redakcijā:</w:t>
      </w:r>
    </w:p>
    <w:p w:rsidR="007A0BB2" w:rsidRPr="00A77169" w:rsidRDefault="007A0BB2" w:rsidP="007A0BB2">
      <w:pPr>
        <w:jc w:val="both"/>
        <w:rPr>
          <w:sz w:val="28"/>
          <w:szCs w:val="28"/>
        </w:rPr>
      </w:pPr>
      <w:r w:rsidRPr="00A77169">
        <w:rPr>
          <w:sz w:val="28"/>
          <w:szCs w:val="28"/>
        </w:rPr>
        <w:t xml:space="preserve">(4) ‘’Apcietinājuma izpildi nosaka apcietinājuma turēšanas kārtības likums.’’ </w:t>
      </w:r>
    </w:p>
    <w:p w:rsidR="007A0BB2" w:rsidRPr="00A77169" w:rsidRDefault="007A0BB2" w:rsidP="007A0BB2">
      <w:pPr>
        <w:jc w:val="both"/>
        <w:rPr>
          <w:sz w:val="28"/>
          <w:szCs w:val="28"/>
        </w:rPr>
      </w:pPr>
      <w:r w:rsidRPr="00A77169">
        <w:rPr>
          <w:sz w:val="28"/>
          <w:szCs w:val="28"/>
        </w:rPr>
        <w:t>Uzskatu, ka veicot grozījumus tiks izskausta kļūdaina tiesu prakse un novērsta i</w:t>
      </w:r>
      <w:r>
        <w:rPr>
          <w:sz w:val="28"/>
          <w:szCs w:val="28"/>
        </w:rPr>
        <w:t xml:space="preserve">espējamība </w:t>
      </w:r>
      <w:r w:rsidRPr="00A77169">
        <w:rPr>
          <w:sz w:val="28"/>
          <w:szCs w:val="28"/>
        </w:rPr>
        <w:t xml:space="preserve">pārkāpt </w:t>
      </w:r>
      <w:r>
        <w:rPr>
          <w:sz w:val="28"/>
          <w:szCs w:val="28"/>
        </w:rPr>
        <w:t xml:space="preserve">aizdomās turētās vai apsūdzētās personas cilvēktiesības, kas ir </w:t>
      </w:r>
      <w:r w:rsidRPr="00A77169">
        <w:rPr>
          <w:sz w:val="28"/>
          <w:szCs w:val="28"/>
        </w:rPr>
        <w:t xml:space="preserve"> </w:t>
      </w:r>
      <w:r>
        <w:rPr>
          <w:sz w:val="28"/>
          <w:szCs w:val="28"/>
        </w:rPr>
        <w:t>garantēta</w:t>
      </w:r>
      <w:r w:rsidRPr="00A77169">
        <w:rPr>
          <w:sz w:val="28"/>
          <w:szCs w:val="28"/>
        </w:rPr>
        <w:t xml:space="preserve">s </w:t>
      </w:r>
      <w:r>
        <w:rPr>
          <w:sz w:val="28"/>
          <w:szCs w:val="28"/>
        </w:rPr>
        <w:t>KPL.</w:t>
      </w:r>
    </w:p>
    <w:p w:rsidR="007A0BB2" w:rsidRPr="002C5051" w:rsidRDefault="007A0BB2" w:rsidP="007A0BB2">
      <w:pPr>
        <w:jc w:val="both"/>
        <w:rPr>
          <w:i/>
          <w:sz w:val="28"/>
          <w:szCs w:val="28"/>
        </w:rPr>
      </w:pPr>
      <w:r>
        <w:rPr>
          <w:sz w:val="28"/>
          <w:szCs w:val="28"/>
        </w:rPr>
        <w:t xml:space="preserve">16. </w:t>
      </w:r>
      <w:r w:rsidRPr="00A77169">
        <w:rPr>
          <w:sz w:val="28"/>
          <w:szCs w:val="28"/>
        </w:rPr>
        <w:t xml:space="preserve"> Analizējot izmeklēšanas tiesne</w:t>
      </w:r>
      <w:r>
        <w:rPr>
          <w:sz w:val="28"/>
          <w:szCs w:val="28"/>
        </w:rPr>
        <w:t>šu un procesa virzītāja viedokli</w:t>
      </w:r>
      <w:r w:rsidRPr="002C5051">
        <w:rPr>
          <w:sz w:val="28"/>
          <w:szCs w:val="28"/>
        </w:rPr>
        <w:t xml:space="preserve"> </w:t>
      </w:r>
      <w:r>
        <w:rPr>
          <w:sz w:val="28"/>
          <w:szCs w:val="28"/>
        </w:rPr>
        <w:t xml:space="preserve">par to vai </w:t>
      </w:r>
      <w:r w:rsidRPr="00A77169">
        <w:rPr>
          <w:sz w:val="28"/>
          <w:szCs w:val="28"/>
        </w:rPr>
        <w:t xml:space="preserve">izmeklēšanas tiesneša kompetencē ir tiesības vērtēt procesa virzītāja pieņemtā lēmuma pamatotību, autors secina, </w:t>
      </w:r>
      <w:r>
        <w:rPr>
          <w:sz w:val="28"/>
          <w:szCs w:val="28"/>
        </w:rPr>
        <w:t>l</w:t>
      </w:r>
      <w:r w:rsidRPr="00A77169">
        <w:rPr>
          <w:sz w:val="28"/>
          <w:szCs w:val="28"/>
        </w:rPr>
        <w:t>ai izvairītos no nepareizas normu piemērošanas, kā arī, lai nerastos divdomīgas, neskaidras situācijas, autors ierosina papildināt KPL 262.p.3.d. ar sekojošiem vārdiem:</w:t>
      </w:r>
    </w:p>
    <w:p w:rsidR="007A0BB2" w:rsidRPr="00A77169" w:rsidRDefault="007A0BB2" w:rsidP="007A0BB2">
      <w:pPr>
        <w:pStyle w:val="naisf"/>
        <w:spacing w:before="0" w:beforeAutospacing="0" w:after="0" w:afterAutospacing="0"/>
        <w:jc w:val="both"/>
        <w:rPr>
          <w:i/>
          <w:sz w:val="28"/>
          <w:szCs w:val="28"/>
          <w:lang w:val="lv-LV"/>
        </w:rPr>
      </w:pPr>
      <w:r w:rsidRPr="00A77169">
        <w:rPr>
          <w:i/>
          <w:sz w:val="28"/>
          <w:szCs w:val="28"/>
          <w:lang w:val="lv-LV"/>
        </w:rPr>
        <w:t>‘’Izmeklēšanas tiesnesis skatot sūdzību, vērtē procesa virzītāja pieņemtā lēmuma pamatotību.’’</w:t>
      </w:r>
    </w:p>
    <w:p w:rsidR="007A0BB2" w:rsidRPr="00A91B64" w:rsidRDefault="007A0BB2" w:rsidP="007A0BB2">
      <w:pPr>
        <w:jc w:val="both"/>
        <w:rPr>
          <w:sz w:val="28"/>
          <w:szCs w:val="28"/>
          <w:u w:val="single"/>
        </w:rPr>
      </w:pPr>
      <w:r w:rsidRPr="00A77169">
        <w:rPr>
          <w:sz w:val="28"/>
          <w:szCs w:val="28"/>
        </w:rPr>
        <w:t xml:space="preserve">17. </w:t>
      </w:r>
      <w:r w:rsidRPr="00A77169">
        <w:rPr>
          <w:bCs/>
          <w:sz w:val="28"/>
          <w:szCs w:val="28"/>
        </w:rPr>
        <w:t xml:space="preserve">Autors uzskata, ka TM </w:t>
      </w:r>
      <w:r>
        <w:rPr>
          <w:bCs/>
          <w:sz w:val="28"/>
          <w:szCs w:val="28"/>
        </w:rPr>
        <w:t xml:space="preserve">kriminālprocesa darba grupas </w:t>
      </w:r>
      <w:r w:rsidRPr="00A77169">
        <w:rPr>
          <w:bCs/>
          <w:sz w:val="28"/>
          <w:szCs w:val="28"/>
        </w:rPr>
        <w:t>piedāvātie grozījumi</w:t>
      </w:r>
      <w:r>
        <w:rPr>
          <w:bCs/>
          <w:sz w:val="28"/>
          <w:szCs w:val="28"/>
        </w:rPr>
        <w:t>,</w:t>
      </w:r>
      <w:r w:rsidRPr="00A77169">
        <w:rPr>
          <w:bCs/>
          <w:sz w:val="28"/>
          <w:szCs w:val="28"/>
        </w:rPr>
        <w:t xml:space="preserve"> </w:t>
      </w:r>
      <w:r w:rsidRPr="00A77169">
        <w:rPr>
          <w:sz w:val="28"/>
          <w:szCs w:val="28"/>
        </w:rPr>
        <w:t xml:space="preserve">papildināt </w:t>
      </w:r>
      <w:r>
        <w:rPr>
          <w:sz w:val="28"/>
          <w:szCs w:val="28"/>
        </w:rPr>
        <w:t xml:space="preserve">KPL </w:t>
      </w:r>
      <w:r w:rsidRPr="00A77169">
        <w:rPr>
          <w:sz w:val="28"/>
          <w:szCs w:val="28"/>
        </w:rPr>
        <w:t xml:space="preserve">257.panta otro daļu ar teikumu šādā redakcijā: </w:t>
      </w:r>
    </w:p>
    <w:p w:rsidR="007A0BB2" w:rsidRPr="00CD6688" w:rsidRDefault="007A0BB2" w:rsidP="007A0BB2">
      <w:pPr>
        <w:jc w:val="both"/>
        <w:rPr>
          <w:bCs/>
          <w:iCs/>
          <w:sz w:val="28"/>
          <w:szCs w:val="28"/>
        </w:rPr>
      </w:pPr>
      <w:r w:rsidRPr="00A77169">
        <w:rPr>
          <w:bCs/>
          <w:iCs/>
          <w:sz w:val="28"/>
          <w:szCs w:val="28"/>
        </w:rPr>
        <w:t xml:space="preserve">“Ja procesa virzītāja </w:t>
      </w:r>
      <w:smartTag w:uri="schemas-tilde-lv/tildestengine" w:element="veidnes">
        <w:smartTagPr>
          <w:attr w:name="text" w:val="lēmums"/>
          <w:attr w:name="baseform" w:val="lēmums"/>
          <w:attr w:name="id" w:val="-1"/>
        </w:smartTagPr>
        <w:r w:rsidRPr="00A77169">
          <w:rPr>
            <w:bCs/>
            <w:iCs/>
            <w:sz w:val="28"/>
            <w:szCs w:val="28"/>
          </w:rPr>
          <w:t>lēmums</w:t>
        </w:r>
      </w:smartTag>
      <w:r w:rsidRPr="00A77169">
        <w:rPr>
          <w:bCs/>
          <w:iCs/>
          <w:sz w:val="28"/>
          <w:szCs w:val="28"/>
        </w:rPr>
        <w:t xml:space="preserve"> par drošības līdzekli pārsūdzēts,</w:t>
      </w:r>
      <w:r w:rsidRPr="00A77169">
        <w:rPr>
          <w:sz w:val="28"/>
          <w:szCs w:val="28"/>
        </w:rPr>
        <w:t xml:space="preserve"> </w:t>
      </w:r>
      <w:r w:rsidRPr="00A77169">
        <w:rPr>
          <w:bCs/>
          <w:iCs/>
          <w:sz w:val="28"/>
          <w:szCs w:val="28"/>
        </w:rPr>
        <w:t>drošības naudas apmēru var</w:t>
      </w:r>
      <w:r>
        <w:rPr>
          <w:bCs/>
          <w:iCs/>
          <w:sz w:val="28"/>
          <w:szCs w:val="28"/>
        </w:rPr>
        <w:t xml:space="preserve"> noteikt izmeklēšanas tiesnesis</w:t>
      </w:r>
      <w:r w:rsidRPr="00A77169">
        <w:rPr>
          <w:bCs/>
          <w:iCs/>
          <w:sz w:val="28"/>
          <w:szCs w:val="28"/>
        </w:rPr>
        <w:t>”</w:t>
      </w:r>
      <w:r>
        <w:rPr>
          <w:bCs/>
          <w:iCs/>
          <w:sz w:val="28"/>
          <w:szCs w:val="28"/>
        </w:rPr>
        <w:t xml:space="preserve">, </w:t>
      </w:r>
      <w:r>
        <w:rPr>
          <w:bCs/>
          <w:sz w:val="28"/>
          <w:szCs w:val="28"/>
        </w:rPr>
        <w:t>nav atbalstāmi. Šādā situācijā</w:t>
      </w:r>
      <w:r w:rsidRPr="00A77169">
        <w:rPr>
          <w:bCs/>
          <w:sz w:val="28"/>
          <w:szCs w:val="28"/>
        </w:rPr>
        <w:t xml:space="preserve"> aizdomās turētajai un apsūdzētajai personai tiks liegta iespēja to pārsūdzēt izmeklēšanas tiesnesim, tā ignorējot </w:t>
      </w:r>
      <w:r>
        <w:rPr>
          <w:bCs/>
          <w:sz w:val="28"/>
          <w:szCs w:val="28"/>
        </w:rPr>
        <w:t xml:space="preserve">personas </w:t>
      </w:r>
      <w:r w:rsidRPr="00A77169">
        <w:rPr>
          <w:bCs/>
          <w:sz w:val="28"/>
          <w:szCs w:val="28"/>
        </w:rPr>
        <w:t>tiesības uz aizstāvību. Respektīvi</w:t>
      </w:r>
      <w:r>
        <w:rPr>
          <w:bCs/>
          <w:sz w:val="28"/>
          <w:szCs w:val="28"/>
        </w:rPr>
        <w:t>, ar šādu grozījumu</w:t>
      </w:r>
      <w:r w:rsidRPr="00A77169">
        <w:rPr>
          <w:bCs/>
          <w:sz w:val="28"/>
          <w:szCs w:val="28"/>
        </w:rPr>
        <w:t xml:space="preserve"> tiks pasliktināts person</w:t>
      </w:r>
      <w:r>
        <w:rPr>
          <w:bCs/>
          <w:sz w:val="28"/>
          <w:szCs w:val="28"/>
        </w:rPr>
        <w:t>as tiesiskais stāvoklis, jo patreiz saskaņā ar KPL 262.p.</w:t>
      </w:r>
      <w:r w:rsidRPr="00A77169">
        <w:rPr>
          <w:bCs/>
          <w:sz w:val="28"/>
          <w:szCs w:val="28"/>
        </w:rPr>
        <w:t xml:space="preserve"> tiesnesis</w:t>
      </w:r>
      <w:r>
        <w:rPr>
          <w:bCs/>
          <w:sz w:val="28"/>
          <w:szCs w:val="28"/>
        </w:rPr>
        <w:t>,</w:t>
      </w:r>
      <w:r w:rsidRPr="00A77169">
        <w:rPr>
          <w:bCs/>
          <w:sz w:val="28"/>
          <w:szCs w:val="28"/>
        </w:rPr>
        <w:t xml:space="preserve"> konstatē</w:t>
      </w:r>
      <w:r>
        <w:rPr>
          <w:bCs/>
          <w:sz w:val="28"/>
          <w:szCs w:val="28"/>
        </w:rPr>
        <w:t>jot</w:t>
      </w:r>
      <w:r w:rsidRPr="00A77169">
        <w:rPr>
          <w:bCs/>
          <w:sz w:val="28"/>
          <w:szCs w:val="28"/>
        </w:rPr>
        <w:t>, ka procesa virz</w:t>
      </w:r>
      <w:r>
        <w:rPr>
          <w:bCs/>
          <w:sz w:val="28"/>
          <w:szCs w:val="28"/>
        </w:rPr>
        <w:t xml:space="preserve">ītāja lēmums nav pamatots un nav izpildāms, </w:t>
      </w:r>
      <w:r w:rsidRPr="00A77169">
        <w:rPr>
          <w:bCs/>
          <w:sz w:val="28"/>
          <w:szCs w:val="28"/>
        </w:rPr>
        <w:t xml:space="preserve">uzliek par pienākumu procesa virzītājam 3 darba dienu laikā grozīt piemēroto drošības līdzekli  vai tā noteikumus. Personai, ja tā spēj </w:t>
      </w:r>
      <w:r w:rsidRPr="00A77169">
        <w:rPr>
          <w:bCs/>
          <w:sz w:val="28"/>
          <w:szCs w:val="28"/>
        </w:rPr>
        <w:lastRenderedPageBreak/>
        <w:t xml:space="preserve">pierādīt, ka piemērotais drošības līdzeklis nav izpildāms </w:t>
      </w:r>
      <w:r>
        <w:rPr>
          <w:bCs/>
          <w:sz w:val="28"/>
          <w:szCs w:val="28"/>
        </w:rPr>
        <w:t>ir tiesības vairāk</w:t>
      </w:r>
      <w:r w:rsidRPr="00A77169">
        <w:rPr>
          <w:bCs/>
          <w:sz w:val="28"/>
          <w:szCs w:val="28"/>
        </w:rPr>
        <w:t>kārt pārsūdzēt procesa virzītāja lēmumu. Tā panākot, ka tiek ievēroti arī samērīguma un taisnīguma principi.</w:t>
      </w:r>
      <w:r>
        <w:rPr>
          <w:bCs/>
          <w:iCs/>
          <w:sz w:val="28"/>
          <w:szCs w:val="28"/>
        </w:rPr>
        <w:t xml:space="preserve"> </w:t>
      </w:r>
    </w:p>
    <w:p w:rsidR="007A0BB2" w:rsidRDefault="007A0BB2" w:rsidP="007A0BB2">
      <w:pPr>
        <w:jc w:val="both"/>
        <w:rPr>
          <w:sz w:val="28"/>
          <w:szCs w:val="28"/>
        </w:rPr>
      </w:pPr>
      <w:r w:rsidRPr="00A77169">
        <w:rPr>
          <w:sz w:val="28"/>
          <w:szCs w:val="28"/>
        </w:rPr>
        <w:t xml:space="preserve">18. </w:t>
      </w:r>
      <w:r>
        <w:rPr>
          <w:sz w:val="28"/>
          <w:szCs w:val="28"/>
        </w:rPr>
        <w:t xml:space="preserve">Latvijas </w:t>
      </w:r>
      <w:r w:rsidRPr="00A77169">
        <w:rPr>
          <w:sz w:val="28"/>
          <w:szCs w:val="28"/>
        </w:rPr>
        <w:t xml:space="preserve"> KPL </w:t>
      </w:r>
      <w:r>
        <w:rPr>
          <w:sz w:val="28"/>
          <w:szCs w:val="28"/>
        </w:rPr>
        <w:t xml:space="preserve">275.p.1.d. </w:t>
      </w:r>
      <w:r w:rsidRPr="00A77169">
        <w:rPr>
          <w:sz w:val="28"/>
          <w:szCs w:val="28"/>
        </w:rPr>
        <w:t>nav strikti n</w:t>
      </w:r>
      <w:r>
        <w:rPr>
          <w:sz w:val="28"/>
          <w:szCs w:val="28"/>
        </w:rPr>
        <w:t>oregulēts jautājums par to, kā</w:t>
      </w:r>
      <w:r w:rsidRPr="00A77169">
        <w:rPr>
          <w:sz w:val="28"/>
          <w:szCs w:val="28"/>
        </w:rPr>
        <w:t xml:space="preserve"> normas piemērotājiem ir jāsaprot pantā ietvertais nosacījums, ‘’ja pastāv pamats apcietinājuma piemērošanai, taču personu īpašu apstākļu dēļ nav vēlams vai nav </w:t>
      </w:r>
      <w:r>
        <w:rPr>
          <w:sz w:val="28"/>
          <w:szCs w:val="28"/>
        </w:rPr>
        <w:t xml:space="preserve">iespējams turēt apcietinājumā.’’ Tāpat </w:t>
      </w:r>
      <w:r w:rsidRPr="00A77169">
        <w:rPr>
          <w:sz w:val="28"/>
          <w:szCs w:val="28"/>
        </w:rPr>
        <w:t>KPL nav reglamentēts, kas ir tie īpašie apstākļi, kuru dēļ aizdomās turēto vai apsūdzēto nav vēlams vai nav iespējams turēt</w:t>
      </w:r>
      <w:r>
        <w:rPr>
          <w:sz w:val="28"/>
          <w:szCs w:val="28"/>
        </w:rPr>
        <w:t xml:space="preserve"> apcietinājumā. Autors ierosina </w:t>
      </w:r>
      <w:r w:rsidRPr="00A77169">
        <w:rPr>
          <w:sz w:val="28"/>
          <w:szCs w:val="28"/>
        </w:rPr>
        <w:t xml:space="preserve">KPL </w:t>
      </w:r>
      <w:r>
        <w:rPr>
          <w:sz w:val="28"/>
          <w:szCs w:val="28"/>
        </w:rPr>
        <w:t>norādīt konkrētus īpašos apstākļus,</w:t>
      </w:r>
      <w:r w:rsidRPr="00A77169">
        <w:rPr>
          <w:sz w:val="28"/>
          <w:szCs w:val="28"/>
        </w:rPr>
        <w:t xml:space="preserve"> piemēram, kritisks veselības stāvoklis, neiespējamība nodrošināt personu apcietinājumā ar nepieciešamiem medikamentiem, veselības stāvokļa izmeklēšanu un slimību diagnosticēšanu, rehabilitāciju; personas apgādībā esošās personas: nepilngadīgie bērni un vecvecāki, kuru dēļ nav vēlams vai nav iespējams turēt personu </w:t>
      </w:r>
      <w:r>
        <w:rPr>
          <w:sz w:val="28"/>
          <w:szCs w:val="28"/>
        </w:rPr>
        <w:t xml:space="preserve">apcietinājumā. Pretējā gadījumā </w:t>
      </w:r>
      <w:r w:rsidRPr="00A77169">
        <w:rPr>
          <w:sz w:val="28"/>
          <w:szCs w:val="28"/>
        </w:rPr>
        <w:t>šai normai ir deklaratīvs raksturs, kuras esamība KPL ir ļot</w:t>
      </w:r>
      <w:r>
        <w:rPr>
          <w:sz w:val="28"/>
          <w:szCs w:val="28"/>
        </w:rPr>
        <w:t xml:space="preserve">i formāla. Kā risinājums </w:t>
      </w:r>
      <w:r w:rsidRPr="00A77169">
        <w:rPr>
          <w:sz w:val="28"/>
          <w:szCs w:val="28"/>
        </w:rPr>
        <w:t>būt</w:t>
      </w:r>
      <w:r>
        <w:rPr>
          <w:sz w:val="28"/>
          <w:szCs w:val="28"/>
        </w:rPr>
        <w:t xml:space="preserve">u </w:t>
      </w:r>
      <w:r w:rsidRPr="00A77169">
        <w:rPr>
          <w:sz w:val="28"/>
          <w:szCs w:val="28"/>
        </w:rPr>
        <w:t>Lietuvas</w:t>
      </w:r>
      <w:r>
        <w:rPr>
          <w:sz w:val="28"/>
          <w:szCs w:val="28"/>
        </w:rPr>
        <w:t xml:space="preserve"> KPK mājas aresta reglamentācija</w:t>
      </w:r>
      <w:r w:rsidRPr="00A77169">
        <w:rPr>
          <w:sz w:val="28"/>
          <w:szCs w:val="28"/>
        </w:rPr>
        <w:t>, kur nav atrunāts speciāls nosacījums, līdz ar to arī nepastāvētu domstarpības  normas piemērošanā praksē</w:t>
      </w:r>
      <w:r>
        <w:rPr>
          <w:sz w:val="28"/>
          <w:szCs w:val="28"/>
        </w:rPr>
        <w:t>.</w:t>
      </w: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Default="007A0BB2" w:rsidP="007A0BB2">
      <w:pPr>
        <w:jc w:val="both"/>
        <w:rPr>
          <w:sz w:val="28"/>
          <w:szCs w:val="28"/>
        </w:rPr>
      </w:pPr>
    </w:p>
    <w:p w:rsidR="007A0BB2" w:rsidRPr="004506B3" w:rsidRDefault="007A0BB2" w:rsidP="007A0BB2">
      <w:pPr>
        <w:rPr>
          <w:sz w:val="28"/>
          <w:szCs w:val="28"/>
        </w:rPr>
      </w:pPr>
    </w:p>
    <w:p w:rsidR="007A0BB2" w:rsidRDefault="007A0BB2" w:rsidP="007A0BB2"/>
    <w:p w:rsidR="007A0BB2" w:rsidRDefault="007A0BB2" w:rsidP="007A0BB2"/>
    <w:p w:rsidR="007A0BB2" w:rsidRDefault="007A0BB2" w:rsidP="007A0BB2"/>
    <w:p w:rsidR="007A0BB2" w:rsidRDefault="007A0BB2" w:rsidP="007A0BB2"/>
    <w:p w:rsidR="007A0BB2" w:rsidRDefault="007A0BB2" w:rsidP="007A0BB2"/>
    <w:p w:rsidR="007A0BB2" w:rsidRDefault="007A0BB2" w:rsidP="007A0BB2"/>
    <w:p w:rsidR="007A0BB2" w:rsidRDefault="007A0BB2" w:rsidP="007A0BB2"/>
    <w:p w:rsidR="007A0BB2" w:rsidRDefault="007A0BB2" w:rsidP="007A0BB2"/>
    <w:p w:rsidR="007A0BB2" w:rsidRDefault="007A0BB2" w:rsidP="007A0BB2"/>
    <w:p w:rsidR="007A0BB2" w:rsidRDefault="007A0BB2" w:rsidP="007A0BB2"/>
    <w:p w:rsidR="007A0BB2" w:rsidRDefault="007A0BB2" w:rsidP="007A0BB2"/>
    <w:p w:rsidR="007A0BB2" w:rsidRDefault="007A0BB2" w:rsidP="007A0BB2"/>
    <w:p w:rsidR="007A0BB2" w:rsidRDefault="007A0BB2" w:rsidP="007A0BB2"/>
    <w:p w:rsidR="007A0BB2" w:rsidRDefault="007A0BB2" w:rsidP="007A0BB2">
      <w:pPr>
        <w:jc w:val="center"/>
        <w:rPr>
          <w:b/>
          <w:sz w:val="28"/>
          <w:szCs w:val="28"/>
          <w:lang w:val="en-US"/>
        </w:rPr>
      </w:pPr>
      <w:r w:rsidRPr="0024721F">
        <w:rPr>
          <w:b/>
          <w:sz w:val="28"/>
          <w:szCs w:val="28"/>
          <w:lang w:val="en-US"/>
        </w:rPr>
        <w:lastRenderedPageBreak/>
        <w:t>SUMMARY</w:t>
      </w:r>
    </w:p>
    <w:p w:rsidR="007A0BB2" w:rsidRPr="0024721F" w:rsidRDefault="007A0BB2" w:rsidP="007A0BB2">
      <w:pPr>
        <w:jc w:val="center"/>
        <w:rPr>
          <w:b/>
          <w:sz w:val="28"/>
          <w:szCs w:val="28"/>
          <w:lang w:val="en-US"/>
        </w:rPr>
      </w:pPr>
    </w:p>
    <w:p w:rsidR="007A0BB2" w:rsidRDefault="007A0BB2" w:rsidP="007A0BB2">
      <w:pPr>
        <w:ind w:firstLine="720"/>
        <w:jc w:val="both"/>
        <w:rPr>
          <w:sz w:val="28"/>
          <w:szCs w:val="28"/>
          <w:lang w:val="en-US"/>
        </w:rPr>
      </w:pPr>
      <w:r w:rsidRPr="00E723FB">
        <w:rPr>
          <w:sz w:val="28"/>
          <w:szCs w:val="28"/>
          <w:lang w:val="en-US"/>
        </w:rPr>
        <w:t>Subject matter of the Master`s Paper is: “Settlement of Issues of Criminal Procedure Law in Application of Particular Security Measures in Pre-Trial Investigation”. The purpose of the study was to demonstrate ambiguity, complications, contradictory situations and difficulties in application of legal regulations arising from insufficient adjustment of regulations and incorrect interpretation on the part of those, who apply the regulations referring to security measures – detention, house arrest and security deposit.</w:t>
      </w:r>
    </w:p>
    <w:p w:rsidR="007A0BB2" w:rsidRPr="00E723FB" w:rsidRDefault="007A0BB2" w:rsidP="007A0BB2">
      <w:pPr>
        <w:ind w:firstLine="720"/>
        <w:jc w:val="both"/>
        <w:rPr>
          <w:sz w:val="28"/>
          <w:szCs w:val="28"/>
          <w:lang w:val="en-US"/>
        </w:rPr>
      </w:pPr>
      <w:r w:rsidRPr="00E723FB">
        <w:rPr>
          <w:sz w:val="28"/>
          <w:szCs w:val="28"/>
          <w:lang w:val="en-US"/>
        </w:rPr>
        <w:t>Topicality of the chosen subject matter of the Paper was based on the fact that application of these compulsory measures affects such fundamental rights of a suspected or accused person, as the right to freedom, property rights, as well as limitation of human rights of such persons.</w:t>
      </w:r>
    </w:p>
    <w:p w:rsidR="007A0BB2" w:rsidRPr="00E723FB" w:rsidRDefault="007A0BB2" w:rsidP="007A0BB2">
      <w:pPr>
        <w:ind w:firstLine="720"/>
        <w:jc w:val="both"/>
        <w:rPr>
          <w:sz w:val="28"/>
          <w:szCs w:val="28"/>
          <w:lang w:val="en-US"/>
        </w:rPr>
      </w:pPr>
      <w:r w:rsidRPr="00E723FB">
        <w:rPr>
          <w:sz w:val="28"/>
          <w:szCs w:val="28"/>
          <w:lang w:val="en-US"/>
        </w:rPr>
        <w:t>The author has analyzed materials of court praxis – decisions of persons directing proceedings, proposals for application of detention, court decisions, opinions, amendments to Criminal Procedure Law (CPL) prepared by Ministry of Justice and has evaluated their compliance to the Constitution of LR, Convention for the Protection of Human Rights and Fundamental Freedoms, and judgments of the European Court of Human Rights. Special attention is paid to observation of human rights and its monitoring applying security measures that are taken by investigating judge. The author has considered and expressed his opinion about topical issues, like: observance of the right of a suspected or accused person to defense; provision of the principle of competition and principle of equal rights under the current CPL, when a decision regarding application of detention is made.</w:t>
      </w:r>
    </w:p>
    <w:p w:rsidR="007A0BB2" w:rsidRPr="00E723FB" w:rsidRDefault="007A0BB2" w:rsidP="007A0BB2">
      <w:pPr>
        <w:ind w:firstLine="720"/>
        <w:jc w:val="both"/>
        <w:rPr>
          <w:sz w:val="28"/>
          <w:szCs w:val="28"/>
          <w:lang w:val="en-US"/>
        </w:rPr>
      </w:pPr>
      <w:r w:rsidRPr="00E723FB">
        <w:rPr>
          <w:sz w:val="28"/>
          <w:szCs w:val="28"/>
          <w:lang w:val="en-US"/>
        </w:rPr>
        <w:t>Using the comparative method the author has established, how similar legal provisions are regulated in foreign codes with the purpose to ascertain the best and most appropriate solution in order to decide whether borrowings from foreign codes: Lithuania, Estonia, Russian Federation and Germany- are necessary.</w:t>
      </w:r>
    </w:p>
    <w:p w:rsidR="007A0BB2" w:rsidRPr="00E723FB" w:rsidRDefault="007A0BB2" w:rsidP="007A0BB2">
      <w:pPr>
        <w:ind w:firstLine="720"/>
        <w:jc w:val="both"/>
        <w:rPr>
          <w:sz w:val="28"/>
          <w:szCs w:val="28"/>
          <w:lang w:val="en-US"/>
        </w:rPr>
      </w:pPr>
      <w:r w:rsidRPr="00E723FB">
        <w:rPr>
          <w:sz w:val="28"/>
          <w:szCs w:val="28"/>
          <w:lang w:val="en-US"/>
        </w:rPr>
        <w:t>The first part considers place of security measures – detention, house arrest, security deposit – in the system of criminal procedural coercion measures.</w:t>
      </w:r>
    </w:p>
    <w:p w:rsidR="007A0BB2" w:rsidRPr="00E723FB" w:rsidRDefault="007A0BB2" w:rsidP="007A0BB2">
      <w:pPr>
        <w:ind w:firstLine="720"/>
        <w:jc w:val="both"/>
        <w:rPr>
          <w:sz w:val="28"/>
          <w:szCs w:val="28"/>
          <w:lang w:val="en-US"/>
        </w:rPr>
      </w:pPr>
      <w:r w:rsidRPr="00E723FB">
        <w:rPr>
          <w:sz w:val="28"/>
          <w:szCs w:val="28"/>
          <w:lang w:val="en-US"/>
        </w:rPr>
        <w:t>The second part deals with general basis for application of security measures and evaluates the provisions for applying security measures in practice. Attention is paid to observance of human rights and its monitoring when applying security measures.</w:t>
      </w:r>
    </w:p>
    <w:p w:rsidR="007A0BB2" w:rsidRPr="00E723FB" w:rsidRDefault="007A0BB2" w:rsidP="007A0BB2">
      <w:pPr>
        <w:ind w:firstLine="720"/>
        <w:jc w:val="both"/>
        <w:rPr>
          <w:sz w:val="28"/>
          <w:szCs w:val="28"/>
          <w:lang w:val="en-US"/>
        </w:rPr>
      </w:pPr>
      <w:r w:rsidRPr="00E723FB">
        <w:rPr>
          <w:sz w:val="28"/>
          <w:szCs w:val="28"/>
          <w:lang w:val="en-US"/>
        </w:rPr>
        <w:t xml:space="preserve">The third part discusses the procedure of application of security measures- detention, house arrest, security deposit, and gives analysis. This part also deals with the procedure of application of limits of security </w:t>
      </w:r>
      <w:r w:rsidRPr="00E723FB">
        <w:rPr>
          <w:sz w:val="28"/>
          <w:szCs w:val="28"/>
          <w:lang w:val="en-US"/>
        </w:rPr>
        <w:lastRenderedPageBreak/>
        <w:t>measures and the procedure of appeal, necessity for further evaluation, extension, amendment and cancellation.</w:t>
      </w:r>
    </w:p>
    <w:p w:rsidR="007A0BB2" w:rsidRPr="00E723FB" w:rsidRDefault="007A0BB2" w:rsidP="007A0BB2">
      <w:pPr>
        <w:ind w:firstLine="720"/>
        <w:jc w:val="both"/>
        <w:rPr>
          <w:sz w:val="28"/>
          <w:szCs w:val="28"/>
          <w:lang w:val="en-US"/>
        </w:rPr>
      </w:pPr>
      <w:r w:rsidRPr="00E723FB">
        <w:rPr>
          <w:sz w:val="28"/>
          <w:szCs w:val="28"/>
          <w:lang w:val="en-US"/>
        </w:rPr>
        <w:t>Analyzing the particular criminal procedural relations and pointing out legal arguments the author has offered solution of difficulties in the conclusion and suggestion part.</w:t>
      </w:r>
    </w:p>
    <w:p w:rsidR="007A0BB2" w:rsidRPr="00E723FB" w:rsidRDefault="007A0BB2" w:rsidP="007A0BB2">
      <w:pPr>
        <w:jc w:val="both"/>
        <w:rPr>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p>
    <w:p w:rsidR="007A0BB2" w:rsidRDefault="007A0BB2" w:rsidP="007A0BB2">
      <w:pPr>
        <w:rPr>
          <w:b/>
          <w:sz w:val="28"/>
          <w:szCs w:val="28"/>
        </w:rPr>
      </w:pPr>
      <w:r>
        <w:rPr>
          <w:b/>
          <w:sz w:val="28"/>
          <w:szCs w:val="28"/>
        </w:rPr>
        <w:lastRenderedPageBreak/>
        <w:t>Izmantotās literatūras, normatīvo aktu  un tiesu prakses materiālu saraksts:</w:t>
      </w:r>
    </w:p>
    <w:p w:rsidR="007A0BB2" w:rsidRDefault="007A0BB2" w:rsidP="007A0BB2">
      <w:pPr>
        <w:pStyle w:val="FootnoteText"/>
        <w:jc w:val="both"/>
        <w:rPr>
          <w:sz w:val="28"/>
          <w:szCs w:val="28"/>
          <w:u w:val="single"/>
          <w:lang w:val="lv-LV"/>
        </w:rPr>
      </w:pPr>
    </w:p>
    <w:p w:rsidR="007A0BB2" w:rsidRPr="007611CD" w:rsidRDefault="007A0BB2" w:rsidP="007A0BB2">
      <w:pPr>
        <w:pStyle w:val="FootnoteText"/>
        <w:jc w:val="both"/>
        <w:rPr>
          <w:b/>
          <w:sz w:val="28"/>
          <w:szCs w:val="28"/>
          <w:lang w:val="lv-LV"/>
        </w:rPr>
      </w:pPr>
      <w:r w:rsidRPr="007611CD">
        <w:rPr>
          <w:b/>
          <w:sz w:val="28"/>
          <w:szCs w:val="28"/>
          <w:lang w:val="lv-LV"/>
        </w:rPr>
        <w:t>Grāmatas</w:t>
      </w:r>
    </w:p>
    <w:p w:rsidR="007A0BB2" w:rsidRDefault="007A0BB2" w:rsidP="007A0BB2">
      <w:pPr>
        <w:pStyle w:val="FootnoteText"/>
        <w:numPr>
          <w:ilvl w:val="0"/>
          <w:numId w:val="23"/>
        </w:numPr>
        <w:jc w:val="both"/>
        <w:rPr>
          <w:sz w:val="28"/>
          <w:szCs w:val="28"/>
          <w:lang w:val="lv-LV"/>
        </w:rPr>
      </w:pPr>
      <w:r w:rsidRPr="006D5A38">
        <w:rPr>
          <w:sz w:val="28"/>
          <w:szCs w:val="28"/>
          <w:lang w:val="lv-LV"/>
        </w:rPr>
        <w:t>Meikališa Ā. Kriminālprocesa tiesības</w:t>
      </w:r>
      <w:r>
        <w:rPr>
          <w:sz w:val="28"/>
          <w:szCs w:val="28"/>
          <w:lang w:val="lv-LV"/>
        </w:rPr>
        <w:t xml:space="preserve"> Vispārīgā daļa 1.grāmata. Rīga: IU ’’</w:t>
      </w:r>
      <w:r w:rsidRPr="006D5A38">
        <w:rPr>
          <w:sz w:val="28"/>
          <w:szCs w:val="28"/>
          <w:lang w:val="lv-LV"/>
        </w:rPr>
        <w:t>RaKa’’, 2000</w:t>
      </w:r>
      <w:r>
        <w:rPr>
          <w:sz w:val="28"/>
          <w:szCs w:val="28"/>
          <w:lang w:val="lv-LV"/>
        </w:rPr>
        <w:t>.</w:t>
      </w:r>
    </w:p>
    <w:p w:rsidR="007A0BB2" w:rsidRDefault="007A0BB2" w:rsidP="007A0BB2">
      <w:pPr>
        <w:pStyle w:val="FootnoteText"/>
        <w:numPr>
          <w:ilvl w:val="0"/>
          <w:numId w:val="23"/>
        </w:numPr>
        <w:jc w:val="both"/>
        <w:rPr>
          <w:sz w:val="28"/>
          <w:szCs w:val="28"/>
          <w:lang w:val="lv-LV"/>
        </w:rPr>
      </w:pPr>
      <w:r w:rsidRPr="00212243">
        <w:rPr>
          <w:sz w:val="28"/>
          <w:szCs w:val="28"/>
          <w:lang w:val="lv-LV"/>
        </w:rPr>
        <w:t>Cilvēktiesību rokasgrāmata tiesnešiem.</w:t>
      </w:r>
      <w:r>
        <w:rPr>
          <w:sz w:val="28"/>
          <w:szCs w:val="28"/>
          <w:lang w:val="lv-LV"/>
        </w:rPr>
        <w:t xml:space="preserve"> Rīga:</w:t>
      </w:r>
      <w:r w:rsidRPr="00212243">
        <w:rPr>
          <w:sz w:val="28"/>
          <w:szCs w:val="28"/>
          <w:lang w:val="lv-LV"/>
        </w:rPr>
        <w:t>L</w:t>
      </w:r>
      <w:r>
        <w:rPr>
          <w:sz w:val="28"/>
          <w:szCs w:val="28"/>
          <w:lang w:val="lv-LV"/>
        </w:rPr>
        <w:t>atvijas Universitātes</w:t>
      </w:r>
      <w:r w:rsidRPr="00212243">
        <w:rPr>
          <w:sz w:val="28"/>
          <w:szCs w:val="28"/>
          <w:lang w:val="lv-LV"/>
        </w:rPr>
        <w:t xml:space="preserve"> Juridiskā</w:t>
      </w:r>
      <w:r>
        <w:rPr>
          <w:sz w:val="28"/>
          <w:szCs w:val="28"/>
          <w:lang w:val="lv-LV"/>
        </w:rPr>
        <w:t>s</w:t>
      </w:r>
      <w:r w:rsidRPr="00212243">
        <w:rPr>
          <w:sz w:val="28"/>
          <w:szCs w:val="28"/>
          <w:lang w:val="lv-LV"/>
        </w:rPr>
        <w:t xml:space="preserve"> fakultāte</w:t>
      </w:r>
      <w:r>
        <w:rPr>
          <w:sz w:val="28"/>
          <w:szCs w:val="28"/>
          <w:lang w:val="lv-LV"/>
        </w:rPr>
        <w:t>s Cilvēktiesību institūts</w:t>
      </w:r>
      <w:r w:rsidRPr="00212243">
        <w:rPr>
          <w:sz w:val="28"/>
          <w:szCs w:val="28"/>
          <w:lang w:val="lv-LV"/>
        </w:rPr>
        <w:t>, 2004</w:t>
      </w:r>
      <w:r>
        <w:rPr>
          <w:sz w:val="28"/>
          <w:szCs w:val="28"/>
          <w:lang w:val="lv-LV"/>
        </w:rPr>
        <w:t>.</w:t>
      </w:r>
    </w:p>
    <w:p w:rsidR="007A0BB2" w:rsidRPr="00212243" w:rsidRDefault="007A0BB2" w:rsidP="007A0BB2">
      <w:pPr>
        <w:pStyle w:val="FootnoteText"/>
        <w:numPr>
          <w:ilvl w:val="0"/>
          <w:numId w:val="23"/>
        </w:numPr>
        <w:jc w:val="both"/>
        <w:rPr>
          <w:sz w:val="28"/>
          <w:szCs w:val="28"/>
          <w:lang w:val="lv-LV"/>
        </w:rPr>
      </w:pPr>
      <w:r w:rsidRPr="00212243">
        <w:rPr>
          <w:sz w:val="28"/>
          <w:szCs w:val="28"/>
        </w:rPr>
        <w:t>Strasbūras tiesu prakse apcietinājuma piemērošanā. Spriedumu fragmentu izlase. D.Krauss, J.K.Pastile, E.Rusanovs</w:t>
      </w:r>
      <w:r>
        <w:rPr>
          <w:sz w:val="28"/>
          <w:szCs w:val="28"/>
        </w:rPr>
        <w:t>., Rīga: Latvijas Vēstnesis, 2004.</w:t>
      </w:r>
    </w:p>
    <w:p w:rsidR="007A0BB2" w:rsidRDefault="007A0BB2" w:rsidP="007A0BB2">
      <w:pPr>
        <w:pStyle w:val="FootnoteText"/>
        <w:numPr>
          <w:ilvl w:val="0"/>
          <w:numId w:val="23"/>
        </w:numPr>
        <w:jc w:val="both"/>
        <w:rPr>
          <w:sz w:val="28"/>
          <w:szCs w:val="28"/>
          <w:lang w:val="lv-LV"/>
        </w:rPr>
      </w:pPr>
      <w:r w:rsidRPr="00212243">
        <w:rPr>
          <w:sz w:val="28"/>
          <w:szCs w:val="28"/>
          <w:lang w:val="lv-LV"/>
        </w:rPr>
        <w:t>Juridiskās metodes pamati. 11 soļi tiesību normu piemērošanā, dr.habil.iur. profesora E.Meļķiša zinātniskā</w:t>
      </w:r>
      <w:r>
        <w:rPr>
          <w:sz w:val="28"/>
          <w:szCs w:val="28"/>
          <w:lang w:val="lv-LV"/>
        </w:rPr>
        <w:t xml:space="preserve"> redakcijā, Rīga: Latvijas Universitāte, </w:t>
      </w:r>
      <w:r w:rsidRPr="00212243">
        <w:rPr>
          <w:sz w:val="28"/>
          <w:szCs w:val="28"/>
          <w:lang w:val="lv-LV"/>
        </w:rPr>
        <w:t>2003</w:t>
      </w:r>
      <w:r>
        <w:rPr>
          <w:sz w:val="28"/>
          <w:szCs w:val="28"/>
          <w:lang w:val="lv-LV"/>
        </w:rPr>
        <w:t>.</w:t>
      </w:r>
    </w:p>
    <w:p w:rsidR="007A0BB2" w:rsidRDefault="007A0BB2" w:rsidP="007A0BB2">
      <w:pPr>
        <w:pStyle w:val="FootnoteText"/>
        <w:numPr>
          <w:ilvl w:val="0"/>
          <w:numId w:val="23"/>
        </w:numPr>
        <w:jc w:val="both"/>
        <w:rPr>
          <w:sz w:val="28"/>
          <w:szCs w:val="28"/>
          <w:lang w:val="lv-LV"/>
        </w:rPr>
      </w:pPr>
      <w:r w:rsidRPr="00212243">
        <w:rPr>
          <w:sz w:val="28"/>
          <w:szCs w:val="28"/>
          <w:lang w:val="lv-LV"/>
        </w:rPr>
        <w:t xml:space="preserve">Kriminālprocess shēmās A.daļa., Ā.Meikališa, K.Strada-Rozenberga, </w:t>
      </w:r>
      <w:r>
        <w:rPr>
          <w:sz w:val="28"/>
          <w:szCs w:val="28"/>
          <w:lang w:val="lv-LV"/>
        </w:rPr>
        <w:t xml:space="preserve">Rīga: </w:t>
      </w:r>
      <w:r w:rsidRPr="00212243">
        <w:rPr>
          <w:sz w:val="28"/>
          <w:szCs w:val="28"/>
          <w:lang w:val="lv-LV"/>
        </w:rPr>
        <w:t>Latvijas Vēstnesis, 2007.</w:t>
      </w:r>
    </w:p>
    <w:p w:rsidR="007A0BB2" w:rsidRPr="00212243" w:rsidRDefault="007A0BB2" w:rsidP="007A0BB2">
      <w:pPr>
        <w:pStyle w:val="FootnoteText"/>
        <w:numPr>
          <w:ilvl w:val="0"/>
          <w:numId w:val="23"/>
        </w:numPr>
        <w:jc w:val="both"/>
        <w:rPr>
          <w:sz w:val="28"/>
          <w:szCs w:val="28"/>
          <w:lang w:val="lv-LV"/>
        </w:rPr>
      </w:pPr>
      <w:r w:rsidRPr="00212243">
        <w:rPr>
          <w:sz w:val="28"/>
          <w:szCs w:val="28"/>
        </w:rPr>
        <w:t>Kergandberg E., Sillaots M., "Kiriminaalmenetlus".</w:t>
      </w:r>
      <w:r>
        <w:rPr>
          <w:sz w:val="28"/>
          <w:szCs w:val="28"/>
        </w:rPr>
        <w:t xml:space="preserve"> </w:t>
      </w:r>
      <w:r w:rsidRPr="00212243">
        <w:rPr>
          <w:sz w:val="28"/>
          <w:szCs w:val="28"/>
        </w:rPr>
        <w:t>Juura</w:t>
      </w:r>
      <w:r>
        <w:rPr>
          <w:sz w:val="28"/>
          <w:szCs w:val="28"/>
        </w:rPr>
        <w:t>.</w:t>
      </w:r>
      <w:r w:rsidRPr="00212243">
        <w:rPr>
          <w:sz w:val="28"/>
          <w:szCs w:val="28"/>
        </w:rPr>
        <w:t>, Tallinn</w:t>
      </w:r>
      <w:r>
        <w:rPr>
          <w:sz w:val="28"/>
          <w:szCs w:val="28"/>
        </w:rPr>
        <w:t>.,</w:t>
      </w:r>
      <w:r w:rsidRPr="00212243">
        <w:rPr>
          <w:sz w:val="28"/>
          <w:szCs w:val="28"/>
        </w:rPr>
        <w:t xml:space="preserve"> 2006</w:t>
      </w:r>
      <w:r>
        <w:rPr>
          <w:sz w:val="28"/>
          <w:szCs w:val="28"/>
        </w:rPr>
        <w:t>.</w:t>
      </w:r>
    </w:p>
    <w:p w:rsidR="007A0BB2" w:rsidRPr="00212243" w:rsidRDefault="007A0BB2" w:rsidP="007A0BB2">
      <w:pPr>
        <w:pStyle w:val="FootnoteText"/>
        <w:numPr>
          <w:ilvl w:val="0"/>
          <w:numId w:val="23"/>
        </w:numPr>
        <w:jc w:val="both"/>
        <w:rPr>
          <w:sz w:val="28"/>
          <w:szCs w:val="28"/>
          <w:lang w:val="lv-LV"/>
        </w:rPr>
      </w:pPr>
      <w:r>
        <w:rPr>
          <w:sz w:val="28"/>
          <w:szCs w:val="28"/>
          <w:lang w:val="lv-LV"/>
        </w:rPr>
        <w:t>Latviešu valodas vārdnīca, Rīga:</w:t>
      </w:r>
      <w:r w:rsidRPr="00212243">
        <w:rPr>
          <w:sz w:val="28"/>
          <w:szCs w:val="28"/>
          <w:lang w:val="lv-LV"/>
        </w:rPr>
        <w:t xml:space="preserve"> Avots, Otrais izdevums, 1988</w:t>
      </w:r>
      <w:r>
        <w:rPr>
          <w:sz w:val="28"/>
          <w:szCs w:val="28"/>
          <w:lang w:val="lv-LV"/>
        </w:rPr>
        <w:t>.</w:t>
      </w:r>
    </w:p>
    <w:p w:rsidR="007A0BB2" w:rsidRDefault="007A0BB2" w:rsidP="007A0BB2">
      <w:pPr>
        <w:pStyle w:val="FootnoteText"/>
        <w:jc w:val="both"/>
        <w:rPr>
          <w:sz w:val="28"/>
          <w:szCs w:val="28"/>
          <w:lang w:val="lv-LV"/>
        </w:rPr>
      </w:pPr>
    </w:p>
    <w:p w:rsidR="007A0BB2" w:rsidRPr="007611CD" w:rsidRDefault="007A0BB2" w:rsidP="007A0BB2">
      <w:pPr>
        <w:pStyle w:val="FootnoteText"/>
        <w:jc w:val="both"/>
        <w:rPr>
          <w:b/>
          <w:sz w:val="28"/>
          <w:szCs w:val="28"/>
          <w:lang w:val="lv-LV"/>
        </w:rPr>
      </w:pPr>
      <w:r w:rsidRPr="007611CD">
        <w:rPr>
          <w:b/>
          <w:sz w:val="28"/>
          <w:szCs w:val="28"/>
          <w:lang w:val="lv-LV"/>
        </w:rPr>
        <w:t>Normatīvie akti</w:t>
      </w:r>
    </w:p>
    <w:p w:rsidR="007A0BB2" w:rsidRDefault="007A0BB2" w:rsidP="007A0BB2">
      <w:pPr>
        <w:pStyle w:val="FootnoteText"/>
        <w:jc w:val="both"/>
        <w:rPr>
          <w:sz w:val="28"/>
          <w:szCs w:val="28"/>
          <w:lang w:val="lv-LV"/>
        </w:rPr>
      </w:pPr>
    </w:p>
    <w:p w:rsidR="007A0BB2" w:rsidRDefault="007A0BB2" w:rsidP="007A0BB2">
      <w:pPr>
        <w:pStyle w:val="FootnoteText"/>
        <w:numPr>
          <w:ilvl w:val="0"/>
          <w:numId w:val="24"/>
        </w:numPr>
        <w:jc w:val="both"/>
        <w:rPr>
          <w:sz w:val="28"/>
          <w:szCs w:val="28"/>
          <w:lang w:val="lv-LV"/>
        </w:rPr>
      </w:pPr>
      <w:r>
        <w:rPr>
          <w:sz w:val="28"/>
          <w:szCs w:val="28"/>
          <w:lang w:val="lv-LV"/>
        </w:rPr>
        <w:t xml:space="preserve">Kriminālprocesa likums. </w:t>
      </w:r>
      <w:r w:rsidRPr="006D5A38">
        <w:rPr>
          <w:sz w:val="28"/>
          <w:szCs w:val="28"/>
          <w:lang w:val="lv-LV"/>
        </w:rPr>
        <w:t xml:space="preserve">Rīga: </w:t>
      </w:r>
      <w:r>
        <w:rPr>
          <w:sz w:val="28"/>
          <w:szCs w:val="28"/>
          <w:lang w:val="lv-LV"/>
        </w:rPr>
        <w:t>Latvijas Vēstnesis, 2005.</w:t>
      </w:r>
    </w:p>
    <w:p w:rsidR="007A0BB2" w:rsidRDefault="007A0BB2" w:rsidP="007A0BB2">
      <w:pPr>
        <w:pStyle w:val="FootnoteText"/>
        <w:numPr>
          <w:ilvl w:val="0"/>
          <w:numId w:val="24"/>
        </w:numPr>
        <w:jc w:val="both"/>
        <w:rPr>
          <w:sz w:val="28"/>
          <w:szCs w:val="28"/>
          <w:lang w:val="lv-LV"/>
        </w:rPr>
      </w:pPr>
      <w:r w:rsidRPr="00AA5144">
        <w:rPr>
          <w:sz w:val="28"/>
          <w:szCs w:val="28"/>
          <w:lang w:val="lv-LV"/>
        </w:rPr>
        <w:t>Latvijas Kriminālprocesa kodekss. Rīga: Tiesu namu aģentūra, 2002</w:t>
      </w:r>
      <w:r>
        <w:rPr>
          <w:sz w:val="28"/>
          <w:szCs w:val="28"/>
          <w:lang w:val="lv-LV"/>
        </w:rPr>
        <w:t>.</w:t>
      </w:r>
    </w:p>
    <w:p w:rsidR="007A0BB2" w:rsidRPr="00AA5144" w:rsidRDefault="007A0BB2" w:rsidP="007A0BB2">
      <w:pPr>
        <w:pStyle w:val="FootnoteText"/>
        <w:numPr>
          <w:ilvl w:val="0"/>
          <w:numId w:val="24"/>
        </w:numPr>
        <w:jc w:val="both"/>
        <w:rPr>
          <w:sz w:val="28"/>
          <w:szCs w:val="28"/>
          <w:lang w:val="lv-LV"/>
        </w:rPr>
      </w:pPr>
      <w:r w:rsidRPr="00AA5144">
        <w:rPr>
          <w:sz w:val="28"/>
          <w:szCs w:val="28"/>
          <w:lang w:val="lv-LV"/>
        </w:rPr>
        <w:t>Criminal Procedure Code (Strafprozebordnung, StPO)</w:t>
      </w:r>
    </w:p>
    <w:p w:rsidR="007A0BB2" w:rsidRDefault="007A0BB2" w:rsidP="007A0BB2">
      <w:pPr>
        <w:pStyle w:val="FootnoteText"/>
        <w:ind w:firstLine="720"/>
        <w:jc w:val="both"/>
        <w:rPr>
          <w:sz w:val="28"/>
          <w:szCs w:val="28"/>
          <w:lang w:val="lv-LV"/>
        </w:rPr>
      </w:pPr>
      <w:r w:rsidRPr="007611CD">
        <w:rPr>
          <w:sz w:val="28"/>
          <w:szCs w:val="28"/>
          <w:lang w:val="lv-LV"/>
        </w:rPr>
        <w:t>http://</w:t>
      </w:r>
      <w:hyperlink r:id="rId7" w:history="1">
        <w:r w:rsidRPr="00655E7A">
          <w:rPr>
            <w:rStyle w:val="Hyperlink"/>
            <w:sz w:val="28"/>
            <w:szCs w:val="28"/>
            <w:lang w:val="lv-LV"/>
          </w:rPr>
          <w:t>www.iuscomp.org/gla/statutes/StPO.htm</w:t>
        </w:r>
      </w:hyperlink>
    </w:p>
    <w:p w:rsidR="007A0BB2" w:rsidRDefault="007A0BB2" w:rsidP="007A0BB2">
      <w:pPr>
        <w:pStyle w:val="FootnoteText"/>
        <w:ind w:left="720"/>
        <w:jc w:val="both"/>
        <w:rPr>
          <w:sz w:val="28"/>
          <w:szCs w:val="28"/>
          <w:lang w:val="lv-LV"/>
        </w:rPr>
      </w:pPr>
      <w:r w:rsidRPr="001520F9">
        <w:rPr>
          <w:sz w:val="28"/>
          <w:szCs w:val="28"/>
          <w:lang w:val="lv-LV"/>
        </w:rPr>
        <w:t>Kriminālprocesa kodekss 1987. gada 7. aprīļa publikācijas redakcijā (Vācijas oficiālais reģistrs I 1074, 1319), kas mainīts ar 2008. gada 8. jūlija likuma 2. pantu (Vācijas oficiālais reģistrs I 1212)” Spēkā ar 12.09.1950.</w:t>
      </w:r>
    </w:p>
    <w:p w:rsidR="007A0BB2" w:rsidRPr="00AA5144" w:rsidRDefault="007A0BB2" w:rsidP="007A0BB2">
      <w:pPr>
        <w:pStyle w:val="FootnoteText"/>
        <w:numPr>
          <w:ilvl w:val="0"/>
          <w:numId w:val="24"/>
        </w:numPr>
        <w:jc w:val="both"/>
        <w:rPr>
          <w:sz w:val="28"/>
          <w:szCs w:val="28"/>
          <w:lang w:val="lv-LV"/>
        </w:rPr>
      </w:pPr>
      <w:r w:rsidRPr="00AA5144">
        <w:rPr>
          <w:sz w:val="28"/>
          <w:szCs w:val="28"/>
          <w:lang w:val="lv-LV"/>
        </w:rPr>
        <w:t>Eesti Kriminaalmenetluse seadustik</w:t>
      </w:r>
    </w:p>
    <w:p w:rsidR="007A0BB2" w:rsidRDefault="007A0BB2" w:rsidP="007A0BB2">
      <w:pPr>
        <w:pStyle w:val="FootnoteText"/>
        <w:ind w:left="720"/>
        <w:jc w:val="both"/>
        <w:rPr>
          <w:lang w:val="lv-LV"/>
        </w:rPr>
      </w:pPr>
      <w:hyperlink r:id="rId8" w:history="1">
        <w:r w:rsidRPr="00A92A2A">
          <w:rPr>
            <w:rStyle w:val="Hyperlink"/>
            <w:sz w:val="28"/>
            <w:szCs w:val="28"/>
            <w:lang w:val="lv-LV"/>
          </w:rPr>
          <w:t>http://www.legaltext.ee/et/andmebaas/tekst.asp?loc=text&amp;dok=X60027K5&amp;pg=1&amp;tyyp=X&amp;query=kriminaalmenetluse&amp;ptyyp=RT&amp;keel=en</w:t>
        </w:r>
      </w:hyperlink>
    </w:p>
    <w:p w:rsidR="007A0BB2" w:rsidRPr="00AA5144" w:rsidRDefault="007A0BB2" w:rsidP="007A0BB2">
      <w:pPr>
        <w:pStyle w:val="FootnoteText"/>
        <w:numPr>
          <w:ilvl w:val="0"/>
          <w:numId w:val="24"/>
        </w:numPr>
        <w:jc w:val="both"/>
        <w:rPr>
          <w:sz w:val="28"/>
          <w:szCs w:val="28"/>
          <w:lang w:val="lv-LV"/>
        </w:rPr>
      </w:pPr>
      <w:r w:rsidRPr="00AA5144">
        <w:rPr>
          <w:sz w:val="28"/>
          <w:szCs w:val="28"/>
        </w:rPr>
        <w:t>Lietuvos Respublikos baudžiamojo proceso kodeksas</w:t>
      </w:r>
    </w:p>
    <w:p w:rsidR="007A0BB2" w:rsidRDefault="007A0BB2" w:rsidP="007A0BB2">
      <w:pPr>
        <w:ind w:firstLine="720"/>
        <w:jc w:val="both"/>
        <w:rPr>
          <w:sz w:val="28"/>
          <w:szCs w:val="28"/>
        </w:rPr>
      </w:pPr>
      <w:hyperlink r:id="rId9" w:history="1">
        <w:r w:rsidRPr="00A92A2A">
          <w:rPr>
            <w:rStyle w:val="Hyperlink"/>
            <w:sz w:val="28"/>
            <w:szCs w:val="28"/>
          </w:rPr>
          <w:t>http://www.tm.lt/?item=taktei_list&amp;aktoid=53756</w:t>
        </w:r>
      </w:hyperlink>
    </w:p>
    <w:p w:rsidR="007A0BB2" w:rsidRDefault="007A0BB2" w:rsidP="007A0BB2">
      <w:pPr>
        <w:pStyle w:val="ListParagraph"/>
        <w:numPr>
          <w:ilvl w:val="0"/>
          <w:numId w:val="24"/>
        </w:numPr>
        <w:jc w:val="both"/>
        <w:rPr>
          <w:sz w:val="28"/>
          <w:szCs w:val="28"/>
        </w:rPr>
      </w:pPr>
      <w:r w:rsidRPr="00AA5144">
        <w:rPr>
          <w:sz w:val="28"/>
          <w:szCs w:val="28"/>
        </w:rPr>
        <w:t>Комментарий к Уголовно-процессуальному кодексу Российской Федерации. отв.ред. И.Л.Петрухин., 3-е изд., Москва., изд-во Проспект, 2004</w:t>
      </w:r>
      <w:r>
        <w:rPr>
          <w:sz w:val="28"/>
          <w:szCs w:val="28"/>
        </w:rPr>
        <w:t>.</w:t>
      </w:r>
    </w:p>
    <w:p w:rsidR="007A0BB2" w:rsidRDefault="007A0BB2" w:rsidP="007A0BB2">
      <w:pPr>
        <w:pStyle w:val="ListParagraph"/>
        <w:numPr>
          <w:ilvl w:val="0"/>
          <w:numId w:val="24"/>
        </w:numPr>
        <w:jc w:val="both"/>
        <w:rPr>
          <w:sz w:val="28"/>
          <w:szCs w:val="28"/>
        </w:rPr>
      </w:pPr>
      <w:r w:rsidRPr="00AA5144">
        <w:rPr>
          <w:sz w:val="28"/>
          <w:szCs w:val="28"/>
        </w:rPr>
        <w:t xml:space="preserve">Комментарий к Уголовно-процессуальному кодексу Российской Федерации. </w:t>
      </w:r>
      <w:r w:rsidRPr="00AA5144">
        <w:rPr>
          <w:sz w:val="28"/>
          <w:szCs w:val="28"/>
          <w:lang w:val="ru-RU"/>
        </w:rPr>
        <w:t>О</w:t>
      </w:r>
      <w:r w:rsidRPr="00AA5144">
        <w:rPr>
          <w:sz w:val="28"/>
          <w:szCs w:val="28"/>
        </w:rPr>
        <w:t xml:space="preserve">тв.ред. И.Л.Петрухин., </w:t>
      </w:r>
      <w:r w:rsidRPr="00AA5144">
        <w:rPr>
          <w:sz w:val="28"/>
          <w:szCs w:val="28"/>
          <w:lang w:val="ru-RU"/>
        </w:rPr>
        <w:t>6</w:t>
      </w:r>
      <w:r w:rsidRPr="00AA5144">
        <w:rPr>
          <w:sz w:val="28"/>
          <w:szCs w:val="28"/>
        </w:rPr>
        <w:t>-е изд., Москва., изд-во Проспект, 200</w:t>
      </w:r>
      <w:r w:rsidRPr="00AA5144">
        <w:rPr>
          <w:sz w:val="28"/>
          <w:szCs w:val="28"/>
          <w:lang w:val="ru-RU"/>
        </w:rPr>
        <w:t>8</w:t>
      </w:r>
      <w:r>
        <w:rPr>
          <w:sz w:val="28"/>
          <w:szCs w:val="28"/>
        </w:rPr>
        <w:t>.</w:t>
      </w:r>
    </w:p>
    <w:p w:rsidR="007A0BB2" w:rsidRDefault="007A0BB2" w:rsidP="007A0BB2">
      <w:pPr>
        <w:pStyle w:val="ListParagraph"/>
        <w:numPr>
          <w:ilvl w:val="0"/>
          <w:numId w:val="24"/>
        </w:numPr>
        <w:jc w:val="both"/>
        <w:rPr>
          <w:sz w:val="28"/>
          <w:szCs w:val="28"/>
        </w:rPr>
      </w:pPr>
      <w:r w:rsidRPr="00AA5144">
        <w:rPr>
          <w:sz w:val="28"/>
          <w:szCs w:val="28"/>
        </w:rPr>
        <w:lastRenderedPageBreak/>
        <w:t>Cilvēktiesību un pamat brīvību aizsardzības konvencija, spēkā no 01.11.1998.</w:t>
      </w:r>
      <w:r>
        <w:rPr>
          <w:sz w:val="28"/>
          <w:szCs w:val="28"/>
        </w:rPr>
        <w:t xml:space="preserve"> </w:t>
      </w:r>
      <w:hyperlink r:id="rId10" w:history="1">
        <w:r w:rsidRPr="00AA5144">
          <w:rPr>
            <w:rStyle w:val="Hyperlink"/>
            <w:sz w:val="28"/>
            <w:szCs w:val="28"/>
          </w:rPr>
          <w:t>http://www.coecidriga.lv/tulkojumi/5.htm</w:t>
        </w:r>
      </w:hyperlink>
      <w:r w:rsidRPr="00AA5144">
        <w:rPr>
          <w:sz w:val="28"/>
          <w:szCs w:val="28"/>
        </w:rPr>
        <w:t xml:space="preserve"> </w:t>
      </w:r>
    </w:p>
    <w:p w:rsidR="007A0BB2" w:rsidRPr="00AA5144" w:rsidRDefault="007A0BB2" w:rsidP="007A0BB2">
      <w:pPr>
        <w:pStyle w:val="ListParagraph"/>
        <w:numPr>
          <w:ilvl w:val="0"/>
          <w:numId w:val="24"/>
        </w:numPr>
        <w:jc w:val="both"/>
        <w:rPr>
          <w:sz w:val="28"/>
          <w:szCs w:val="28"/>
        </w:rPr>
      </w:pPr>
      <w:r w:rsidRPr="00AA5144">
        <w:rPr>
          <w:sz w:val="28"/>
          <w:szCs w:val="28"/>
        </w:rPr>
        <w:t>Latvijas Republikas Satversme</w:t>
      </w:r>
    </w:p>
    <w:p w:rsidR="007A0BB2" w:rsidRDefault="007A0BB2" w:rsidP="007A0BB2">
      <w:pPr>
        <w:pStyle w:val="FootnoteText"/>
        <w:ind w:firstLine="720"/>
        <w:jc w:val="both"/>
        <w:rPr>
          <w:sz w:val="28"/>
          <w:szCs w:val="28"/>
          <w:lang w:val="lv-LV"/>
        </w:rPr>
      </w:pPr>
      <w:hyperlink r:id="rId11" w:history="1">
        <w:r w:rsidRPr="00655E7A">
          <w:rPr>
            <w:rStyle w:val="Hyperlink"/>
            <w:sz w:val="28"/>
            <w:szCs w:val="28"/>
            <w:lang w:val="lv-LV"/>
          </w:rPr>
          <w:t>http://www.likumi.lv/doc.php?id=57980</w:t>
        </w:r>
      </w:hyperlink>
      <w:r>
        <w:rPr>
          <w:sz w:val="28"/>
          <w:szCs w:val="28"/>
          <w:lang w:val="lv-LV"/>
        </w:rPr>
        <w:t xml:space="preserve"> </w:t>
      </w:r>
    </w:p>
    <w:p w:rsidR="007A0BB2" w:rsidRDefault="007A0BB2" w:rsidP="007A0BB2">
      <w:pPr>
        <w:pStyle w:val="FootnoteText"/>
        <w:jc w:val="both"/>
        <w:rPr>
          <w:sz w:val="28"/>
          <w:szCs w:val="28"/>
          <w:lang w:val="lv-LV"/>
        </w:rPr>
      </w:pPr>
    </w:p>
    <w:p w:rsidR="007A0BB2" w:rsidRPr="007611CD" w:rsidRDefault="007A0BB2" w:rsidP="007A0BB2">
      <w:pPr>
        <w:pStyle w:val="FootnoteText"/>
        <w:jc w:val="both"/>
        <w:rPr>
          <w:b/>
          <w:sz w:val="28"/>
          <w:szCs w:val="28"/>
          <w:lang w:val="lv-LV"/>
        </w:rPr>
      </w:pPr>
      <w:r w:rsidRPr="007611CD">
        <w:rPr>
          <w:b/>
          <w:sz w:val="28"/>
          <w:szCs w:val="28"/>
          <w:lang w:val="lv-LV"/>
        </w:rPr>
        <w:t>Periodika</w:t>
      </w:r>
    </w:p>
    <w:p w:rsidR="007A0BB2" w:rsidRDefault="007A0BB2" w:rsidP="007A0BB2">
      <w:pPr>
        <w:pStyle w:val="FootnoteText"/>
        <w:jc w:val="both"/>
        <w:rPr>
          <w:sz w:val="28"/>
          <w:szCs w:val="28"/>
          <w:lang w:val="lv-LV"/>
        </w:rPr>
      </w:pPr>
    </w:p>
    <w:p w:rsidR="007A0BB2" w:rsidRPr="006D5A38" w:rsidRDefault="007A0BB2" w:rsidP="007A0BB2">
      <w:pPr>
        <w:pStyle w:val="FootnoteText"/>
        <w:numPr>
          <w:ilvl w:val="0"/>
          <w:numId w:val="25"/>
        </w:numPr>
        <w:jc w:val="both"/>
        <w:rPr>
          <w:sz w:val="28"/>
          <w:szCs w:val="28"/>
          <w:lang w:val="lv-LV"/>
        </w:rPr>
      </w:pPr>
      <w:r w:rsidRPr="006D5A38">
        <w:rPr>
          <w:sz w:val="28"/>
          <w:szCs w:val="28"/>
          <w:lang w:val="lv-LV"/>
        </w:rPr>
        <w:t>Kūtris G. Izmeklēšanas tiesneši: jauns institūts kriminālprocesā. Jurista</w:t>
      </w:r>
      <w:r>
        <w:rPr>
          <w:sz w:val="28"/>
          <w:szCs w:val="28"/>
          <w:lang w:val="lv-LV"/>
        </w:rPr>
        <w:t xml:space="preserve"> Vārds, 2006, Nr.2</w:t>
      </w:r>
    </w:p>
    <w:p w:rsidR="007A0BB2" w:rsidRDefault="007A0BB2" w:rsidP="007A0BB2">
      <w:pPr>
        <w:pStyle w:val="FootnoteText"/>
        <w:jc w:val="both"/>
        <w:rPr>
          <w:sz w:val="28"/>
          <w:szCs w:val="28"/>
          <w:lang w:val="lv-LV"/>
        </w:rPr>
      </w:pPr>
    </w:p>
    <w:p w:rsidR="007A0BB2" w:rsidRPr="007611CD" w:rsidRDefault="007A0BB2" w:rsidP="007A0BB2">
      <w:pPr>
        <w:pStyle w:val="FootnoteText"/>
        <w:jc w:val="both"/>
        <w:rPr>
          <w:b/>
          <w:sz w:val="28"/>
          <w:szCs w:val="28"/>
          <w:lang w:val="lv-LV"/>
        </w:rPr>
      </w:pPr>
      <w:r w:rsidRPr="007611CD">
        <w:rPr>
          <w:b/>
          <w:sz w:val="28"/>
          <w:szCs w:val="28"/>
          <w:lang w:val="lv-LV"/>
        </w:rPr>
        <w:t>Atsevišķi raksti internetā</w:t>
      </w:r>
    </w:p>
    <w:p w:rsidR="007A0BB2" w:rsidRDefault="007A0BB2" w:rsidP="007A0BB2">
      <w:pPr>
        <w:pStyle w:val="FootnoteText"/>
        <w:jc w:val="both"/>
        <w:rPr>
          <w:sz w:val="28"/>
          <w:szCs w:val="28"/>
        </w:rPr>
      </w:pPr>
    </w:p>
    <w:p w:rsidR="007A0BB2" w:rsidRPr="00840124" w:rsidRDefault="007A0BB2" w:rsidP="007A0BB2">
      <w:pPr>
        <w:pStyle w:val="FootnoteText"/>
        <w:numPr>
          <w:ilvl w:val="0"/>
          <w:numId w:val="26"/>
        </w:numPr>
        <w:jc w:val="both"/>
        <w:rPr>
          <w:sz w:val="28"/>
          <w:szCs w:val="28"/>
        </w:rPr>
      </w:pPr>
      <w:r w:rsidRPr="00840124">
        <w:rPr>
          <w:sz w:val="28"/>
          <w:szCs w:val="28"/>
        </w:rPr>
        <w:t>Lavents lauž pilno vadzi.</w:t>
      </w:r>
    </w:p>
    <w:p w:rsidR="007A0BB2" w:rsidRDefault="007A0BB2" w:rsidP="007A0BB2">
      <w:pPr>
        <w:pStyle w:val="FootnoteText"/>
        <w:ind w:firstLine="720"/>
        <w:jc w:val="both"/>
        <w:rPr>
          <w:sz w:val="28"/>
          <w:szCs w:val="28"/>
        </w:rPr>
      </w:pPr>
      <w:hyperlink r:id="rId12" w:history="1">
        <w:r w:rsidRPr="00840124">
          <w:rPr>
            <w:rStyle w:val="Hyperlink"/>
            <w:sz w:val="28"/>
            <w:szCs w:val="28"/>
            <w:u w:val="none"/>
          </w:rPr>
          <w:t>www.politika.lv/index.php.?id=4745 (aplūkots</w:t>
        </w:r>
      </w:hyperlink>
      <w:r w:rsidRPr="00840124">
        <w:rPr>
          <w:sz w:val="28"/>
          <w:szCs w:val="28"/>
        </w:rPr>
        <w:t xml:space="preserve"> 15.02.2008.)</w:t>
      </w:r>
    </w:p>
    <w:p w:rsidR="007A0BB2" w:rsidRPr="00840124" w:rsidRDefault="007A0BB2" w:rsidP="007A0BB2">
      <w:pPr>
        <w:pStyle w:val="FootnoteText"/>
        <w:numPr>
          <w:ilvl w:val="0"/>
          <w:numId w:val="26"/>
        </w:numPr>
        <w:jc w:val="both"/>
        <w:rPr>
          <w:sz w:val="28"/>
          <w:szCs w:val="28"/>
        </w:rPr>
      </w:pPr>
      <w:r w:rsidRPr="00840124">
        <w:rPr>
          <w:sz w:val="28"/>
          <w:szCs w:val="28"/>
        </w:rPr>
        <w:t xml:space="preserve">Kāds ir spriedums lietā ‘’Lavents pret Latvijas valsti?’ </w:t>
      </w:r>
      <w:hyperlink r:id="rId13" w:history="1">
        <w:r w:rsidRPr="00A92A2A">
          <w:rPr>
            <w:rStyle w:val="Hyperlink"/>
            <w:sz w:val="28"/>
            <w:szCs w:val="28"/>
          </w:rPr>
          <w:t>www.politika.lv/index.php.?id=2439 (aplūkots</w:t>
        </w:r>
      </w:hyperlink>
      <w:r w:rsidRPr="00840124">
        <w:rPr>
          <w:sz w:val="28"/>
          <w:szCs w:val="28"/>
        </w:rPr>
        <w:t xml:space="preserve"> </w:t>
      </w:r>
      <w:r>
        <w:rPr>
          <w:sz w:val="28"/>
          <w:szCs w:val="28"/>
        </w:rPr>
        <w:t>18</w:t>
      </w:r>
      <w:r w:rsidRPr="00840124">
        <w:rPr>
          <w:sz w:val="28"/>
          <w:szCs w:val="28"/>
        </w:rPr>
        <w:t>.0</w:t>
      </w:r>
      <w:r>
        <w:rPr>
          <w:sz w:val="28"/>
          <w:szCs w:val="28"/>
        </w:rPr>
        <w:t>3</w:t>
      </w:r>
      <w:r w:rsidRPr="00840124">
        <w:rPr>
          <w:sz w:val="28"/>
          <w:szCs w:val="28"/>
        </w:rPr>
        <w:t>.2008.)</w:t>
      </w:r>
    </w:p>
    <w:p w:rsidR="007A0BB2" w:rsidRPr="00840124" w:rsidRDefault="007A0BB2" w:rsidP="007A0BB2">
      <w:pPr>
        <w:pStyle w:val="FootnoteText"/>
        <w:numPr>
          <w:ilvl w:val="0"/>
          <w:numId w:val="26"/>
        </w:numPr>
        <w:jc w:val="both"/>
        <w:rPr>
          <w:sz w:val="28"/>
          <w:szCs w:val="28"/>
        </w:rPr>
      </w:pPr>
      <w:r w:rsidRPr="00840124">
        <w:rPr>
          <w:sz w:val="28"/>
          <w:szCs w:val="28"/>
        </w:rPr>
        <w:t xml:space="preserve">Aiz restēm pirms tiesas – cik pamatoti? </w:t>
      </w:r>
    </w:p>
    <w:p w:rsidR="007A0BB2" w:rsidRPr="00840124" w:rsidRDefault="007A0BB2" w:rsidP="007A0BB2">
      <w:pPr>
        <w:pStyle w:val="FootnoteText"/>
        <w:ind w:left="720"/>
        <w:jc w:val="both"/>
        <w:rPr>
          <w:sz w:val="28"/>
          <w:szCs w:val="28"/>
        </w:rPr>
      </w:pPr>
      <w:hyperlink r:id="rId14" w:history="1">
        <w:r w:rsidRPr="00840124">
          <w:rPr>
            <w:rStyle w:val="Hyperlink"/>
            <w:sz w:val="28"/>
            <w:szCs w:val="28"/>
            <w:u w:val="none"/>
          </w:rPr>
          <w:t>www.politika.lv/index.php.?id=4745 (aplūkots</w:t>
        </w:r>
      </w:hyperlink>
      <w:r w:rsidRPr="00840124">
        <w:rPr>
          <w:sz w:val="28"/>
          <w:szCs w:val="28"/>
        </w:rPr>
        <w:t xml:space="preserve"> 24.04.2008.)</w:t>
      </w:r>
    </w:p>
    <w:p w:rsidR="007A0BB2" w:rsidRPr="00840124" w:rsidRDefault="007A0BB2" w:rsidP="007A0BB2">
      <w:pPr>
        <w:pStyle w:val="FootnoteText"/>
        <w:numPr>
          <w:ilvl w:val="0"/>
          <w:numId w:val="26"/>
        </w:numPr>
        <w:jc w:val="both"/>
        <w:rPr>
          <w:sz w:val="28"/>
          <w:szCs w:val="28"/>
        </w:rPr>
      </w:pPr>
      <w:hyperlink r:id="rId15" w:history="1">
        <w:r w:rsidRPr="00840124">
          <w:rPr>
            <w:rStyle w:val="Hyperlink"/>
            <w:sz w:val="28"/>
            <w:szCs w:val="28"/>
            <w:u w:val="none"/>
            <w:lang w:val="lv-LV"/>
          </w:rPr>
          <w:t>www.tas.gov.lv/index.php/lv/29/58/244/index.html</w:t>
        </w:r>
      </w:hyperlink>
      <w:r w:rsidRPr="00840124">
        <w:rPr>
          <w:sz w:val="28"/>
          <w:szCs w:val="28"/>
          <w:lang w:val="lv-LV"/>
        </w:rPr>
        <w:t xml:space="preserve"> </w:t>
      </w:r>
    </w:p>
    <w:p w:rsidR="007A0BB2" w:rsidRPr="006D5A38" w:rsidRDefault="007A0BB2" w:rsidP="007A0BB2">
      <w:pPr>
        <w:pStyle w:val="FootnoteText"/>
        <w:jc w:val="both"/>
        <w:rPr>
          <w:sz w:val="28"/>
          <w:szCs w:val="28"/>
        </w:rPr>
      </w:pPr>
    </w:p>
    <w:p w:rsidR="007A0BB2" w:rsidRDefault="007A0BB2" w:rsidP="007A0BB2">
      <w:pPr>
        <w:jc w:val="both"/>
        <w:rPr>
          <w:b/>
          <w:sz w:val="28"/>
          <w:szCs w:val="28"/>
        </w:rPr>
      </w:pPr>
      <w:r w:rsidRPr="007611CD">
        <w:rPr>
          <w:b/>
          <w:sz w:val="28"/>
          <w:szCs w:val="28"/>
        </w:rPr>
        <w:t>Tiesu prakses materiāli</w:t>
      </w:r>
    </w:p>
    <w:p w:rsidR="007A0BB2" w:rsidRDefault="007A0BB2" w:rsidP="007A0BB2">
      <w:pPr>
        <w:jc w:val="both"/>
        <w:rPr>
          <w:sz w:val="28"/>
          <w:szCs w:val="28"/>
        </w:rPr>
      </w:pPr>
    </w:p>
    <w:p w:rsidR="007A0BB2" w:rsidRPr="00AA5144" w:rsidRDefault="007A0BB2" w:rsidP="007A0BB2">
      <w:pPr>
        <w:pStyle w:val="ListParagraph"/>
        <w:numPr>
          <w:ilvl w:val="0"/>
          <w:numId w:val="27"/>
        </w:numPr>
        <w:jc w:val="both"/>
        <w:rPr>
          <w:b/>
          <w:sz w:val="28"/>
          <w:szCs w:val="28"/>
        </w:rPr>
      </w:pPr>
      <w:r w:rsidRPr="00AA5144">
        <w:rPr>
          <w:sz w:val="28"/>
          <w:szCs w:val="28"/>
        </w:rPr>
        <w:t>Satversmes tiesas spriedums lietā Nr.2000-03-01-&amp;8</w:t>
      </w:r>
    </w:p>
    <w:p w:rsidR="007A0BB2" w:rsidRPr="00AA5144" w:rsidRDefault="007A0BB2" w:rsidP="007A0BB2">
      <w:pPr>
        <w:pStyle w:val="ListParagraph"/>
        <w:numPr>
          <w:ilvl w:val="0"/>
          <w:numId w:val="27"/>
        </w:numPr>
        <w:jc w:val="both"/>
        <w:rPr>
          <w:b/>
          <w:sz w:val="28"/>
          <w:szCs w:val="28"/>
        </w:rPr>
      </w:pPr>
      <w:r w:rsidRPr="00AA5144">
        <w:rPr>
          <w:rFonts w:eastAsia="Calibri"/>
          <w:spacing w:val="8"/>
          <w:sz w:val="28"/>
          <w:szCs w:val="28"/>
        </w:rPr>
        <w:t>Satversmes tiesas spriedumu lietā Nr.2003-03-01</w:t>
      </w:r>
    </w:p>
    <w:p w:rsidR="007A0BB2" w:rsidRPr="00AA5144" w:rsidRDefault="007A0BB2" w:rsidP="007A0BB2">
      <w:pPr>
        <w:pStyle w:val="ListParagraph"/>
        <w:numPr>
          <w:ilvl w:val="0"/>
          <w:numId w:val="27"/>
        </w:numPr>
        <w:jc w:val="both"/>
        <w:rPr>
          <w:b/>
          <w:sz w:val="28"/>
          <w:szCs w:val="28"/>
        </w:rPr>
      </w:pPr>
      <w:r w:rsidRPr="00AA5144">
        <w:rPr>
          <w:sz w:val="28"/>
          <w:szCs w:val="28"/>
        </w:rPr>
        <w:t>Artico v. Italy. Appl.No.6694/74, 13 May 1980, Series A. No.37-&amp;33</w:t>
      </w:r>
      <w:r>
        <w:rPr>
          <w:sz w:val="28"/>
          <w:szCs w:val="28"/>
        </w:rPr>
        <w:t>.</w:t>
      </w:r>
    </w:p>
    <w:p w:rsidR="007A0BB2" w:rsidRPr="00AA5144" w:rsidRDefault="007A0BB2" w:rsidP="007A0BB2">
      <w:pPr>
        <w:pStyle w:val="ListParagraph"/>
        <w:numPr>
          <w:ilvl w:val="0"/>
          <w:numId w:val="27"/>
        </w:numPr>
        <w:jc w:val="both"/>
        <w:rPr>
          <w:b/>
          <w:sz w:val="28"/>
          <w:szCs w:val="28"/>
        </w:rPr>
      </w:pPr>
      <w:r w:rsidRPr="00AA5144">
        <w:rPr>
          <w:sz w:val="28"/>
          <w:szCs w:val="28"/>
        </w:rPr>
        <w:t xml:space="preserve"> Rīgas pilsētas Vidzemes priekšpilsētas tiesas 12.11.2007. lēmums krimināllietā nr.11810014307.Nav publicēts.</w:t>
      </w:r>
    </w:p>
    <w:p w:rsidR="007A0BB2" w:rsidRPr="00AA5144" w:rsidRDefault="007A0BB2" w:rsidP="007A0BB2">
      <w:pPr>
        <w:pStyle w:val="ListParagraph"/>
        <w:numPr>
          <w:ilvl w:val="0"/>
          <w:numId w:val="27"/>
        </w:numPr>
        <w:jc w:val="both"/>
        <w:rPr>
          <w:b/>
          <w:sz w:val="28"/>
          <w:szCs w:val="28"/>
        </w:rPr>
      </w:pPr>
      <w:r w:rsidRPr="00AA5144">
        <w:rPr>
          <w:sz w:val="28"/>
          <w:szCs w:val="28"/>
        </w:rPr>
        <w:t>Rīgas pilsētas Ziemeļu rajona tiesas 24.09.2006. lēmums krimināllietā nr.KPL-280/11. Nav publicēts.</w:t>
      </w:r>
    </w:p>
    <w:p w:rsidR="007A0BB2" w:rsidRPr="00AA5144" w:rsidRDefault="007A0BB2" w:rsidP="007A0BB2">
      <w:pPr>
        <w:pStyle w:val="ListParagraph"/>
        <w:numPr>
          <w:ilvl w:val="0"/>
          <w:numId w:val="27"/>
        </w:numPr>
        <w:jc w:val="both"/>
        <w:rPr>
          <w:b/>
          <w:sz w:val="28"/>
          <w:szCs w:val="28"/>
        </w:rPr>
      </w:pPr>
      <w:r w:rsidRPr="00AA5144">
        <w:rPr>
          <w:sz w:val="28"/>
          <w:szCs w:val="28"/>
        </w:rPr>
        <w:t>Rīgas pilsētas Centra rajona tiesas 23.04.2007. lēmums krimināllietā nr. KPL 27003807/9. Nav publicēts.</w:t>
      </w:r>
    </w:p>
    <w:p w:rsidR="007A0BB2" w:rsidRPr="00AA5144" w:rsidRDefault="007A0BB2" w:rsidP="007A0BB2">
      <w:pPr>
        <w:pStyle w:val="ListParagraph"/>
        <w:numPr>
          <w:ilvl w:val="0"/>
          <w:numId w:val="27"/>
        </w:numPr>
        <w:jc w:val="both"/>
        <w:rPr>
          <w:b/>
          <w:sz w:val="28"/>
          <w:szCs w:val="28"/>
        </w:rPr>
      </w:pPr>
      <w:r w:rsidRPr="00AA5144">
        <w:rPr>
          <w:sz w:val="28"/>
          <w:szCs w:val="28"/>
        </w:rPr>
        <w:t>Rīgas apgabaltiesas Krimināllietu tiesas kolēģijas 14.05.2007. lēmums krimināllietā nr.KPL-5/187-09/07. Nav publicēts.</w:t>
      </w:r>
    </w:p>
    <w:p w:rsidR="007A0BB2" w:rsidRPr="00AA5144" w:rsidRDefault="007A0BB2" w:rsidP="007A0BB2">
      <w:pPr>
        <w:pStyle w:val="ListParagraph"/>
        <w:numPr>
          <w:ilvl w:val="0"/>
          <w:numId w:val="27"/>
        </w:numPr>
        <w:jc w:val="both"/>
        <w:rPr>
          <w:b/>
          <w:sz w:val="28"/>
          <w:szCs w:val="28"/>
        </w:rPr>
      </w:pPr>
      <w:r w:rsidRPr="00AA5144">
        <w:rPr>
          <w:sz w:val="28"/>
          <w:szCs w:val="28"/>
        </w:rPr>
        <w:t>Rīgas apgabaltiesas Krimināllietu tiesas kolēģijas 29.08.2007. lēmums krimināllietā nr.KPL-5/347. Nav publicēts.</w:t>
      </w:r>
    </w:p>
    <w:p w:rsidR="007A0BB2" w:rsidRPr="00AA5144" w:rsidRDefault="007A0BB2" w:rsidP="007A0BB2">
      <w:pPr>
        <w:pStyle w:val="ListParagraph"/>
        <w:numPr>
          <w:ilvl w:val="0"/>
          <w:numId w:val="27"/>
        </w:numPr>
        <w:jc w:val="both"/>
        <w:rPr>
          <w:b/>
          <w:sz w:val="28"/>
          <w:szCs w:val="28"/>
        </w:rPr>
      </w:pPr>
      <w:r w:rsidRPr="00AA5144">
        <w:rPr>
          <w:sz w:val="28"/>
          <w:szCs w:val="28"/>
        </w:rPr>
        <w:t>Rīgas pilsētas Centra rajona tiesas 09.09.2007. lēmums krimināllietā nr.KPL 27003807/3. Nav publicēts.</w:t>
      </w:r>
    </w:p>
    <w:p w:rsidR="007A0BB2" w:rsidRPr="00AA5144" w:rsidRDefault="007A0BB2" w:rsidP="007A0BB2">
      <w:pPr>
        <w:pStyle w:val="ListParagraph"/>
        <w:numPr>
          <w:ilvl w:val="0"/>
          <w:numId w:val="27"/>
        </w:numPr>
        <w:jc w:val="both"/>
        <w:rPr>
          <w:b/>
          <w:sz w:val="28"/>
          <w:szCs w:val="28"/>
        </w:rPr>
      </w:pPr>
      <w:r w:rsidRPr="00AA5144">
        <w:rPr>
          <w:sz w:val="28"/>
          <w:szCs w:val="28"/>
        </w:rPr>
        <w:t>Kurzemes apgabaltiesas krimināllietu kolēģijas 22.02.2008. lēmums krimināllietā nr.40024007-21. Nav publicēts.</w:t>
      </w:r>
    </w:p>
    <w:p w:rsidR="007A0BB2" w:rsidRPr="00AA5144" w:rsidRDefault="007A0BB2" w:rsidP="007A0BB2">
      <w:pPr>
        <w:pStyle w:val="ListParagraph"/>
        <w:numPr>
          <w:ilvl w:val="0"/>
          <w:numId w:val="27"/>
        </w:numPr>
        <w:jc w:val="both"/>
        <w:rPr>
          <w:b/>
          <w:sz w:val="28"/>
          <w:szCs w:val="28"/>
        </w:rPr>
      </w:pPr>
      <w:r w:rsidRPr="00AA5144">
        <w:rPr>
          <w:sz w:val="28"/>
          <w:szCs w:val="28"/>
        </w:rPr>
        <w:t>Ierosinājums par apcietinājuma piemērošanu kriminālprocesā nr.16870004106. Nav publicēts.</w:t>
      </w:r>
    </w:p>
    <w:p w:rsidR="007A0BB2" w:rsidRPr="00AA5144" w:rsidRDefault="007A0BB2" w:rsidP="007A0BB2">
      <w:pPr>
        <w:pStyle w:val="ListParagraph"/>
        <w:numPr>
          <w:ilvl w:val="0"/>
          <w:numId w:val="27"/>
        </w:numPr>
        <w:jc w:val="both"/>
        <w:rPr>
          <w:b/>
          <w:sz w:val="28"/>
          <w:szCs w:val="28"/>
        </w:rPr>
      </w:pPr>
      <w:r w:rsidRPr="00AA5144">
        <w:rPr>
          <w:sz w:val="28"/>
          <w:szCs w:val="28"/>
        </w:rPr>
        <w:lastRenderedPageBreak/>
        <w:t>Ierosinājums par apcietinājuma piemērošanu kriminālprocesā nr.11810013807. Nav publicēts.</w:t>
      </w:r>
    </w:p>
    <w:p w:rsidR="007A0BB2" w:rsidRPr="00AA5144" w:rsidRDefault="007A0BB2" w:rsidP="007A0BB2">
      <w:pPr>
        <w:pStyle w:val="ListParagraph"/>
        <w:numPr>
          <w:ilvl w:val="0"/>
          <w:numId w:val="27"/>
        </w:numPr>
        <w:jc w:val="both"/>
        <w:rPr>
          <w:b/>
          <w:sz w:val="28"/>
          <w:szCs w:val="28"/>
        </w:rPr>
      </w:pPr>
      <w:r w:rsidRPr="00AA5144">
        <w:rPr>
          <w:sz w:val="28"/>
          <w:szCs w:val="28"/>
        </w:rPr>
        <w:t>Rīgas pilsētas Centra rajona tiesas 28.07.2006. lēmums krimināllietā nr.KPL/S-27000706/7. Nav publicēts.</w:t>
      </w:r>
    </w:p>
    <w:p w:rsidR="007A0BB2" w:rsidRPr="00AA5144" w:rsidRDefault="007A0BB2" w:rsidP="007A0BB2">
      <w:pPr>
        <w:pStyle w:val="ListParagraph"/>
        <w:numPr>
          <w:ilvl w:val="0"/>
          <w:numId w:val="27"/>
        </w:numPr>
        <w:jc w:val="both"/>
        <w:rPr>
          <w:b/>
          <w:sz w:val="28"/>
          <w:szCs w:val="28"/>
        </w:rPr>
      </w:pPr>
      <w:r w:rsidRPr="00AA5144">
        <w:rPr>
          <w:sz w:val="28"/>
          <w:szCs w:val="28"/>
        </w:rPr>
        <w:t>Rīgas pilsētas Centra rajona tiesas 14.08.2006. lēmums krimināllietā nr.KPL/S-27000806/9. Nav publicēts.</w:t>
      </w:r>
    </w:p>
    <w:p w:rsidR="007A0BB2" w:rsidRPr="00AA5144" w:rsidRDefault="007A0BB2" w:rsidP="007A0BB2">
      <w:pPr>
        <w:pStyle w:val="ListParagraph"/>
        <w:numPr>
          <w:ilvl w:val="0"/>
          <w:numId w:val="27"/>
        </w:numPr>
        <w:jc w:val="both"/>
        <w:rPr>
          <w:b/>
          <w:sz w:val="28"/>
          <w:szCs w:val="28"/>
        </w:rPr>
      </w:pPr>
      <w:r w:rsidRPr="00AA5144">
        <w:rPr>
          <w:sz w:val="28"/>
          <w:szCs w:val="28"/>
        </w:rPr>
        <w:t>Rīgas pilsētas Centra rajona tiesas 28.08.2006. lēmums krimināllietā nr.KPL/S-27001006/3. Nav publicēts.</w:t>
      </w:r>
    </w:p>
    <w:p w:rsidR="007A0BB2" w:rsidRPr="00B01018" w:rsidRDefault="007A0BB2" w:rsidP="007A0BB2">
      <w:pPr>
        <w:pStyle w:val="FootnoteText"/>
        <w:rPr>
          <w:sz w:val="28"/>
          <w:szCs w:val="28"/>
          <w:lang w:val="lv-LV"/>
        </w:rPr>
      </w:pPr>
    </w:p>
    <w:p w:rsidR="007A0BB2" w:rsidRPr="006D5A38" w:rsidRDefault="007A0BB2" w:rsidP="007A0BB2">
      <w:pPr>
        <w:pStyle w:val="FootnoteText"/>
        <w:rPr>
          <w:sz w:val="28"/>
          <w:szCs w:val="28"/>
          <w:lang w:val="lv-LV"/>
        </w:rPr>
      </w:pPr>
    </w:p>
    <w:p w:rsidR="007A0BB2" w:rsidRPr="006D5A38" w:rsidRDefault="007A0BB2" w:rsidP="007A0BB2">
      <w:pPr>
        <w:rPr>
          <w:sz w:val="28"/>
          <w:szCs w:val="28"/>
        </w:rPr>
      </w:pPr>
    </w:p>
    <w:p w:rsidR="007A0BB2" w:rsidRPr="006D5A38" w:rsidRDefault="007A0BB2" w:rsidP="007A0BB2">
      <w:pPr>
        <w:rPr>
          <w:sz w:val="28"/>
          <w:szCs w:val="28"/>
        </w:rPr>
      </w:pPr>
    </w:p>
    <w:p w:rsidR="007A0BB2" w:rsidRDefault="007A0BB2" w:rsidP="007A0BB2">
      <w:pPr>
        <w:rPr>
          <w:b/>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r>
        <w:rPr>
          <w:sz w:val="28"/>
          <w:szCs w:val="28"/>
        </w:rPr>
        <w:lastRenderedPageBreak/>
        <w:t>Pielikums nr.1</w:t>
      </w:r>
    </w:p>
    <w:p w:rsidR="007A0BB2" w:rsidRDefault="007A0BB2" w:rsidP="007A0BB2">
      <w:pPr>
        <w:rPr>
          <w:sz w:val="28"/>
          <w:szCs w:val="28"/>
        </w:rPr>
      </w:pPr>
    </w:p>
    <w:p w:rsidR="007A0BB2" w:rsidRDefault="007A0BB2" w:rsidP="007A0BB2">
      <w:r>
        <w:rPr>
          <w:noProof/>
        </w:rPr>
        <w:drawing>
          <wp:inline distT="0" distB="0" distL="0" distR="0">
            <wp:extent cx="5274310" cy="7276111"/>
            <wp:effectExtent l="19050" t="0" r="2540" b="0"/>
            <wp:docPr id="11" name="Picture 4" descr="scan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5.jpg"/>
                    <pic:cNvPicPr/>
                  </pic:nvPicPr>
                  <pic:blipFill>
                    <a:blip r:embed="rId16" cstate="print"/>
                    <a:stretch>
                      <a:fillRect/>
                    </a:stretch>
                  </pic:blipFill>
                  <pic:spPr>
                    <a:xfrm>
                      <a:off x="0" y="0"/>
                      <a:ext cx="5274310" cy="7276111"/>
                    </a:xfrm>
                    <a:prstGeom prst="rect">
                      <a:avLst/>
                    </a:prstGeom>
                  </pic:spPr>
                </pic:pic>
              </a:graphicData>
            </a:graphic>
          </wp:inline>
        </w:drawing>
      </w:r>
    </w:p>
    <w:p w:rsidR="007A0BB2" w:rsidRDefault="007A0BB2" w:rsidP="007A0BB2"/>
    <w:p w:rsidR="007A0BB2" w:rsidRDefault="007A0BB2" w:rsidP="007A0BB2">
      <w:pPr>
        <w:rPr>
          <w:noProof/>
        </w:rPr>
      </w:pPr>
    </w:p>
    <w:p w:rsidR="007A0BB2" w:rsidRDefault="007A0BB2" w:rsidP="007A0BB2">
      <w:pPr>
        <w:rPr>
          <w:noProof/>
        </w:rPr>
      </w:pPr>
      <w:r>
        <w:rPr>
          <w:noProof/>
        </w:rPr>
        <w:lastRenderedPageBreak/>
        <w:drawing>
          <wp:inline distT="0" distB="0" distL="0" distR="0">
            <wp:extent cx="5579745" cy="4563110"/>
            <wp:effectExtent l="19050" t="0" r="1905" b="0"/>
            <wp:docPr id="10" name="Picture 5" descr="scan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8.jpg"/>
                    <pic:cNvPicPr/>
                  </pic:nvPicPr>
                  <pic:blipFill>
                    <a:blip r:embed="rId17" cstate="print"/>
                    <a:stretch>
                      <a:fillRect/>
                    </a:stretch>
                  </pic:blipFill>
                  <pic:spPr>
                    <a:xfrm>
                      <a:off x="0" y="0"/>
                      <a:ext cx="5579745" cy="4563110"/>
                    </a:xfrm>
                    <a:prstGeom prst="rect">
                      <a:avLst/>
                    </a:prstGeom>
                  </pic:spPr>
                </pic:pic>
              </a:graphicData>
            </a:graphic>
          </wp:inline>
        </w:drawing>
      </w: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Pr="00A96EE2" w:rsidRDefault="007A0BB2" w:rsidP="007A0BB2">
      <w:pPr>
        <w:rPr>
          <w:noProof/>
          <w:sz w:val="28"/>
          <w:szCs w:val="28"/>
        </w:rPr>
      </w:pPr>
      <w:r w:rsidRPr="00A96EE2">
        <w:rPr>
          <w:noProof/>
          <w:sz w:val="28"/>
          <w:szCs w:val="28"/>
        </w:rPr>
        <w:lastRenderedPageBreak/>
        <w:t>Pielikums nr.2</w:t>
      </w:r>
    </w:p>
    <w:p w:rsidR="007A0BB2" w:rsidRDefault="007A0BB2" w:rsidP="007A0BB2">
      <w:pPr>
        <w:rPr>
          <w:noProof/>
        </w:rPr>
      </w:pPr>
      <w:r w:rsidRPr="00A96EE2">
        <w:rPr>
          <w:noProof/>
        </w:rPr>
        <w:drawing>
          <wp:inline distT="0" distB="0" distL="0" distR="0">
            <wp:extent cx="5274310" cy="7257503"/>
            <wp:effectExtent l="19050" t="0" r="2540" b="0"/>
            <wp:docPr id="12" name="Picture 0" descr="sca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2.jpg"/>
                    <pic:cNvPicPr/>
                  </pic:nvPicPr>
                  <pic:blipFill>
                    <a:blip r:embed="rId18" cstate="print"/>
                    <a:stretch>
                      <a:fillRect/>
                    </a:stretch>
                  </pic:blipFill>
                  <pic:spPr>
                    <a:xfrm>
                      <a:off x="0" y="0"/>
                      <a:ext cx="5274310" cy="7257503"/>
                    </a:xfrm>
                    <a:prstGeom prst="rect">
                      <a:avLst/>
                    </a:prstGeom>
                  </pic:spPr>
                </pic:pic>
              </a:graphicData>
            </a:graphic>
          </wp:inline>
        </w:drawing>
      </w: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r w:rsidRPr="00A96EE2">
        <w:rPr>
          <w:noProof/>
        </w:rPr>
        <w:lastRenderedPageBreak/>
        <w:drawing>
          <wp:inline distT="0" distB="0" distL="0" distR="0">
            <wp:extent cx="5274310" cy="7154262"/>
            <wp:effectExtent l="19050" t="0" r="2540" b="0"/>
            <wp:docPr id="14" name="Picture 2" descr="scan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3.jpg"/>
                    <pic:cNvPicPr/>
                  </pic:nvPicPr>
                  <pic:blipFill>
                    <a:blip r:embed="rId19" cstate="print"/>
                    <a:stretch>
                      <a:fillRect/>
                    </a:stretch>
                  </pic:blipFill>
                  <pic:spPr>
                    <a:xfrm>
                      <a:off x="0" y="0"/>
                      <a:ext cx="5274310" cy="7154262"/>
                    </a:xfrm>
                    <a:prstGeom prst="rect">
                      <a:avLst/>
                    </a:prstGeom>
                  </pic:spPr>
                </pic:pic>
              </a:graphicData>
            </a:graphic>
          </wp:inline>
        </w:drawing>
      </w: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r w:rsidRPr="00A96EE2">
        <w:rPr>
          <w:noProof/>
        </w:rPr>
        <w:lastRenderedPageBreak/>
        <w:drawing>
          <wp:inline distT="0" distB="0" distL="0" distR="0">
            <wp:extent cx="5274310" cy="7160865"/>
            <wp:effectExtent l="19050" t="0" r="2540" b="0"/>
            <wp:docPr id="15" name="Picture 3" descr="scan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4.jpg"/>
                    <pic:cNvPicPr/>
                  </pic:nvPicPr>
                  <pic:blipFill>
                    <a:blip r:embed="rId20" cstate="print"/>
                    <a:stretch>
                      <a:fillRect/>
                    </a:stretch>
                  </pic:blipFill>
                  <pic:spPr>
                    <a:xfrm>
                      <a:off x="0" y="0"/>
                      <a:ext cx="5274310" cy="7160865"/>
                    </a:xfrm>
                    <a:prstGeom prst="rect">
                      <a:avLst/>
                    </a:prstGeom>
                  </pic:spPr>
                </pic:pic>
              </a:graphicData>
            </a:graphic>
          </wp:inline>
        </w:drawing>
      </w: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noProof/>
        </w:rPr>
      </w:pPr>
    </w:p>
    <w:p w:rsidR="007A0BB2" w:rsidRDefault="007A0BB2" w:rsidP="007A0BB2">
      <w:pPr>
        <w:rPr>
          <w:sz w:val="28"/>
          <w:szCs w:val="28"/>
        </w:rPr>
      </w:pPr>
      <w:r>
        <w:rPr>
          <w:sz w:val="28"/>
          <w:szCs w:val="28"/>
        </w:rPr>
        <w:lastRenderedPageBreak/>
        <w:t>Apliecinu, ka maģistra darbu esmu uzrakstījis patstāvīgi, izmantojot darbā norādītos avotus, un darbs nav plaģiāts.</w:t>
      </w:r>
    </w:p>
    <w:p w:rsidR="007A0BB2" w:rsidRDefault="007A0BB2" w:rsidP="007A0BB2">
      <w:pPr>
        <w:rPr>
          <w:sz w:val="28"/>
          <w:szCs w:val="28"/>
        </w:rPr>
      </w:pPr>
    </w:p>
    <w:p w:rsidR="007A0BB2" w:rsidRDefault="007A0BB2" w:rsidP="007A0BB2">
      <w:pPr>
        <w:rPr>
          <w:sz w:val="28"/>
          <w:szCs w:val="28"/>
        </w:rPr>
      </w:pPr>
      <w:r>
        <w:rPr>
          <w:sz w:val="28"/>
          <w:szCs w:val="28"/>
        </w:rPr>
        <w:t>_________________________</w:t>
      </w:r>
    </w:p>
    <w:p w:rsidR="007A0BB2" w:rsidRDefault="007A0BB2" w:rsidP="007A0BB2">
      <w:pPr>
        <w:rPr>
          <w:sz w:val="28"/>
          <w:szCs w:val="28"/>
        </w:rPr>
      </w:pPr>
      <w:r>
        <w:rPr>
          <w:sz w:val="28"/>
          <w:szCs w:val="28"/>
        </w:rPr>
        <w:t>19.12.2008.</w:t>
      </w: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r>
        <w:rPr>
          <w:sz w:val="28"/>
          <w:szCs w:val="28"/>
        </w:rPr>
        <w:lastRenderedPageBreak/>
        <w:t>Maģistra darbs aizstāvēts:</w:t>
      </w:r>
    </w:p>
    <w:p w:rsidR="007A0BB2" w:rsidRDefault="007A0BB2" w:rsidP="007A0BB2">
      <w:pPr>
        <w:rPr>
          <w:sz w:val="28"/>
          <w:szCs w:val="28"/>
        </w:rPr>
      </w:pPr>
      <w:r>
        <w:rPr>
          <w:sz w:val="28"/>
          <w:szCs w:val="28"/>
        </w:rPr>
        <w:t>Valsts pārbaudījumu komitejas sēdē</w:t>
      </w:r>
    </w:p>
    <w:p w:rsidR="007A0BB2" w:rsidRDefault="007A0BB2" w:rsidP="007A0BB2">
      <w:pPr>
        <w:rPr>
          <w:sz w:val="28"/>
          <w:szCs w:val="28"/>
        </w:rPr>
      </w:pPr>
      <w:r>
        <w:rPr>
          <w:sz w:val="28"/>
          <w:szCs w:val="28"/>
        </w:rPr>
        <w:t>2009.gada ___________________</w:t>
      </w:r>
    </w:p>
    <w:p w:rsidR="007A0BB2" w:rsidRDefault="007A0BB2" w:rsidP="007A0BB2">
      <w:pPr>
        <w:rPr>
          <w:sz w:val="28"/>
          <w:szCs w:val="28"/>
        </w:rPr>
      </w:pPr>
      <w:r>
        <w:rPr>
          <w:sz w:val="28"/>
          <w:szCs w:val="28"/>
        </w:rPr>
        <w:t>un novērtēts ar atzīmi __________</w:t>
      </w: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Default="007A0BB2" w:rsidP="007A0BB2">
      <w:pPr>
        <w:rPr>
          <w:sz w:val="28"/>
          <w:szCs w:val="28"/>
        </w:rPr>
      </w:pPr>
    </w:p>
    <w:p w:rsidR="007A0BB2" w:rsidRPr="000D3201" w:rsidRDefault="007A0BB2" w:rsidP="007A0BB2">
      <w:pPr>
        <w:rPr>
          <w:sz w:val="28"/>
          <w:szCs w:val="28"/>
        </w:rPr>
      </w:pPr>
      <w:r>
        <w:rPr>
          <w:sz w:val="28"/>
          <w:szCs w:val="28"/>
        </w:rPr>
        <w:t>Komisijas priekšsēdētājs</w:t>
      </w:r>
      <w:r>
        <w:rPr>
          <w:sz w:val="28"/>
          <w:szCs w:val="28"/>
        </w:rPr>
        <w:tab/>
        <w:t>_______________________</w:t>
      </w:r>
    </w:p>
    <w:p w:rsidR="007A0BB2" w:rsidRDefault="007A0BB2" w:rsidP="007A0BB2">
      <w:pPr>
        <w:rPr>
          <w:b/>
          <w:sz w:val="28"/>
          <w:szCs w:val="28"/>
        </w:rPr>
      </w:pPr>
    </w:p>
    <w:p w:rsidR="007A0BB2" w:rsidRPr="000D3201" w:rsidRDefault="007A0BB2" w:rsidP="007A0BB2">
      <w:pPr>
        <w:rPr>
          <w:b/>
          <w:sz w:val="28"/>
          <w:szCs w:val="28"/>
        </w:rPr>
      </w:pPr>
    </w:p>
    <w:p w:rsidR="007A0BB2" w:rsidRDefault="007A0BB2" w:rsidP="007A0BB2"/>
    <w:p w:rsidR="007A0BB2" w:rsidRDefault="007A0BB2" w:rsidP="007A0BB2"/>
    <w:p w:rsidR="00BA03F6" w:rsidRDefault="00BA03F6"/>
    <w:sectPr w:rsidR="00BA03F6" w:rsidSect="00783CAD">
      <w:headerReference w:type="default" r:id="rId21"/>
      <w:footerReference w:type="default" r:id="rId22"/>
      <w:pgSz w:w="11906" w:h="16838"/>
      <w:pgMar w:top="1440" w:right="1800" w:bottom="1440" w:left="1800" w:header="567" w:footer="567"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0E51" w:rsidRDefault="00D20E51" w:rsidP="007A0BB2">
      <w:r>
        <w:separator/>
      </w:r>
    </w:p>
  </w:endnote>
  <w:endnote w:type="continuationSeparator" w:id="1">
    <w:p w:rsidR="00D20E51" w:rsidRDefault="00D20E51" w:rsidP="007A0B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E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Tahoma">
    <w:panose1 w:val="020B0604030504040204"/>
    <w:charset w:val="BA"/>
    <w:family w:val="swiss"/>
    <w:pitch w:val="variable"/>
    <w:sig w:usb0="E1002AFF" w:usb1="C000605B" w:usb2="00000029" w:usb3="00000000" w:csb0="000101FF" w:csb1="00000000"/>
  </w:font>
  <w:font w:name="Cambria">
    <w:panose1 w:val="02040503050406030204"/>
    <w:charset w:val="BA"/>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95732"/>
      <w:docPartObj>
        <w:docPartGallery w:val="Page Numbers (Bottom of Page)"/>
        <w:docPartUnique/>
      </w:docPartObj>
    </w:sdtPr>
    <w:sdtEndPr/>
    <w:sdtContent>
      <w:p w:rsidR="00B31181" w:rsidRDefault="00D20E51">
        <w:pPr>
          <w:pStyle w:val="Footer"/>
          <w:jc w:val="center"/>
        </w:pPr>
        <w:r>
          <w:fldChar w:fldCharType="begin"/>
        </w:r>
        <w:r>
          <w:instrText xml:space="preserve"> PAGE   \* MERGEFORMAT </w:instrText>
        </w:r>
        <w:r>
          <w:fldChar w:fldCharType="separate"/>
        </w:r>
        <w:r w:rsidR="007A0BB2">
          <w:rPr>
            <w:noProof/>
          </w:rPr>
          <w:t>71</w:t>
        </w:r>
        <w:r>
          <w:fldChar w:fldCharType="end"/>
        </w:r>
      </w:p>
    </w:sdtContent>
  </w:sdt>
  <w:p w:rsidR="00B31181" w:rsidRDefault="00D20E51" w:rsidP="00783CAD">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0E51" w:rsidRDefault="00D20E51" w:rsidP="007A0BB2">
      <w:r>
        <w:separator/>
      </w:r>
    </w:p>
  </w:footnote>
  <w:footnote w:type="continuationSeparator" w:id="1">
    <w:p w:rsidR="00D20E51" w:rsidRDefault="00D20E51" w:rsidP="007A0BB2">
      <w:r>
        <w:continuationSeparator/>
      </w:r>
    </w:p>
  </w:footnote>
  <w:footnote w:id="2">
    <w:p w:rsidR="007A0BB2" w:rsidRPr="009412EF" w:rsidRDefault="007A0BB2" w:rsidP="007A0BB2">
      <w:pPr>
        <w:pStyle w:val="FootnoteText"/>
        <w:jc w:val="both"/>
        <w:rPr>
          <w:lang w:val="lv-LV"/>
        </w:rPr>
      </w:pPr>
      <w:r>
        <w:rPr>
          <w:rStyle w:val="FootnoteReference"/>
        </w:rPr>
        <w:footnoteRef/>
      </w:r>
      <w:r>
        <w:t xml:space="preserve"> </w:t>
      </w:r>
      <w:r w:rsidRPr="009412EF">
        <w:t>Lietuvos Respublikos baudžiamojo proceso kodeksas</w:t>
      </w:r>
    </w:p>
    <w:p w:rsidR="007A0BB2" w:rsidRPr="0095188E" w:rsidRDefault="007A0BB2" w:rsidP="007A0BB2">
      <w:pPr>
        <w:jc w:val="both"/>
        <w:rPr>
          <w:sz w:val="20"/>
          <w:szCs w:val="20"/>
        </w:rPr>
      </w:pPr>
      <w:hyperlink r:id="rId1" w:history="1">
        <w:r w:rsidRPr="00587C86">
          <w:rPr>
            <w:rStyle w:val="Hyperlink"/>
            <w:sz w:val="20"/>
            <w:szCs w:val="20"/>
            <w:u w:val="none"/>
          </w:rPr>
          <w:t>http://www.tm.lt/?item=taktei_list&amp;aktoid=53756</w:t>
        </w:r>
      </w:hyperlink>
    </w:p>
  </w:footnote>
  <w:footnote w:id="3">
    <w:p w:rsidR="007A0BB2" w:rsidRPr="009412EF" w:rsidRDefault="007A0BB2" w:rsidP="007A0BB2">
      <w:pPr>
        <w:pStyle w:val="FootnoteText"/>
        <w:jc w:val="both"/>
        <w:rPr>
          <w:lang w:val="lv-LV"/>
        </w:rPr>
      </w:pPr>
      <w:r>
        <w:rPr>
          <w:rStyle w:val="FootnoteReference"/>
        </w:rPr>
        <w:footnoteRef/>
      </w:r>
      <w:r w:rsidRPr="0095188E">
        <w:rPr>
          <w:lang w:val="lv-LV"/>
        </w:rPr>
        <w:t xml:space="preserve"> </w:t>
      </w:r>
      <w:r w:rsidRPr="009412EF">
        <w:rPr>
          <w:lang w:val="lv-LV"/>
        </w:rPr>
        <w:t>Eesti Kriminaalmenetluse seadustik</w:t>
      </w:r>
    </w:p>
    <w:p w:rsidR="007A0BB2" w:rsidRPr="0095188E" w:rsidRDefault="007A0BB2" w:rsidP="007A0BB2">
      <w:pPr>
        <w:pStyle w:val="FootnoteText"/>
        <w:rPr>
          <w:lang w:val="lv-LV"/>
        </w:rPr>
      </w:pPr>
      <w:hyperlink r:id="rId2" w:history="1">
        <w:r w:rsidRPr="0095188E">
          <w:rPr>
            <w:rStyle w:val="Hyperlink"/>
            <w:u w:val="none"/>
            <w:lang w:val="lv-LV"/>
          </w:rPr>
          <w:t>http://www.legaltext.ee/et/andmebaas/tekst.asp?loc=text&amp;dok=X60027K5&amp;pg=1&amp;tyyp=X&amp;query=kriminaalmenetluse&amp;ptyyp=RT&amp;keel=en</w:t>
        </w:r>
      </w:hyperlink>
    </w:p>
  </w:footnote>
  <w:footnote w:id="4">
    <w:p w:rsidR="007A0BB2" w:rsidRPr="0095188E" w:rsidRDefault="007A0BB2" w:rsidP="007A0BB2">
      <w:pPr>
        <w:jc w:val="both"/>
        <w:rPr>
          <w:sz w:val="20"/>
          <w:szCs w:val="20"/>
        </w:rPr>
      </w:pPr>
      <w:r>
        <w:rPr>
          <w:rStyle w:val="FootnoteReference"/>
        </w:rPr>
        <w:footnoteRef/>
      </w:r>
      <w:r w:rsidRPr="00410C42">
        <w:rPr>
          <w:sz w:val="20"/>
          <w:szCs w:val="20"/>
        </w:rPr>
        <w:t xml:space="preserve">Комментарий к Уголовно-процессуальному кодексу Российской Федерации. </w:t>
      </w:r>
      <w:r w:rsidRPr="00410C42">
        <w:rPr>
          <w:sz w:val="20"/>
          <w:szCs w:val="20"/>
          <w:lang w:val="ru-RU"/>
        </w:rPr>
        <w:t>О</w:t>
      </w:r>
      <w:r w:rsidRPr="00410C42">
        <w:rPr>
          <w:sz w:val="20"/>
          <w:szCs w:val="20"/>
        </w:rPr>
        <w:t xml:space="preserve">тв.ред. И.Л.Петрухин., </w:t>
      </w:r>
      <w:r w:rsidRPr="00410C42">
        <w:rPr>
          <w:sz w:val="20"/>
          <w:szCs w:val="20"/>
          <w:lang w:val="ru-RU"/>
        </w:rPr>
        <w:t>6</w:t>
      </w:r>
      <w:r w:rsidRPr="00410C42">
        <w:rPr>
          <w:sz w:val="20"/>
          <w:szCs w:val="20"/>
        </w:rPr>
        <w:t>-е изд., Москва., изд-во Проспект, 200</w:t>
      </w:r>
      <w:r w:rsidRPr="00410C42">
        <w:rPr>
          <w:sz w:val="20"/>
          <w:szCs w:val="20"/>
          <w:lang w:val="ru-RU"/>
        </w:rPr>
        <w:t>8</w:t>
      </w:r>
      <w:r w:rsidRPr="00410C42">
        <w:rPr>
          <w:sz w:val="20"/>
          <w:szCs w:val="20"/>
        </w:rPr>
        <w:t>.</w:t>
      </w:r>
    </w:p>
  </w:footnote>
  <w:footnote w:id="5">
    <w:p w:rsidR="007A0BB2" w:rsidRDefault="007A0BB2" w:rsidP="007A0BB2">
      <w:pPr>
        <w:pStyle w:val="FootnoteText"/>
        <w:jc w:val="both"/>
        <w:rPr>
          <w:lang w:val="lv-LV"/>
        </w:rPr>
      </w:pPr>
      <w:r>
        <w:rPr>
          <w:rStyle w:val="FootnoteReference"/>
        </w:rPr>
        <w:footnoteRef/>
      </w:r>
      <w:r w:rsidRPr="0095188E">
        <w:rPr>
          <w:lang w:val="lv-LV"/>
        </w:rPr>
        <w:t xml:space="preserve"> </w:t>
      </w:r>
      <w:r w:rsidRPr="009412EF">
        <w:rPr>
          <w:lang w:val="lv-LV"/>
        </w:rPr>
        <w:t>Criminal Procedure Code (Strafprozebordnung, StPO)</w:t>
      </w:r>
      <w:r>
        <w:rPr>
          <w:lang w:val="lv-LV"/>
        </w:rPr>
        <w:t xml:space="preserve"> </w:t>
      </w:r>
    </w:p>
    <w:p w:rsidR="007A0BB2" w:rsidRPr="0095188E" w:rsidRDefault="007A0BB2" w:rsidP="007A0BB2">
      <w:pPr>
        <w:pStyle w:val="FootnoteText"/>
        <w:rPr>
          <w:lang w:val="lv-LV"/>
        </w:rPr>
      </w:pPr>
      <w:r w:rsidRPr="009412EF">
        <w:rPr>
          <w:lang w:val="lv-LV"/>
        </w:rPr>
        <w:t>http://</w:t>
      </w:r>
      <w:hyperlink r:id="rId3" w:history="1">
        <w:r w:rsidRPr="0095188E">
          <w:rPr>
            <w:rStyle w:val="Hyperlink"/>
            <w:u w:val="none"/>
            <w:lang w:val="lv-LV"/>
          </w:rPr>
          <w:t>www.iuscomp.org/gla/statutes/StPO.htm</w:t>
        </w:r>
      </w:hyperlink>
    </w:p>
  </w:footnote>
  <w:footnote w:id="6">
    <w:p w:rsidR="007A0BB2" w:rsidRPr="00EB2533" w:rsidRDefault="007A0BB2" w:rsidP="007A0BB2">
      <w:pPr>
        <w:pStyle w:val="FootnoteText"/>
        <w:rPr>
          <w:lang w:val="lv-LV"/>
        </w:rPr>
      </w:pPr>
      <w:r w:rsidRPr="00EB2533">
        <w:rPr>
          <w:rStyle w:val="FootnoteReference"/>
        </w:rPr>
        <w:footnoteRef/>
      </w:r>
      <w:r w:rsidRPr="0095188E">
        <w:rPr>
          <w:lang w:val="lv-LV"/>
        </w:rPr>
        <w:t xml:space="preserve"> </w:t>
      </w:r>
      <w:r w:rsidRPr="00EB2533">
        <w:rPr>
          <w:lang w:val="lv-LV"/>
        </w:rPr>
        <w:t>Meikališa Ā. Kriminālprocesa tiesības</w:t>
      </w:r>
      <w:r>
        <w:rPr>
          <w:lang w:val="lv-LV"/>
        </w:rPr>
        <w:t xml:space="preserve"> Vispārīgā daļa 1.grāmata. Rīga: IU ’’ RaKa’’, 2000., 516.lpp.</w:t>
      </w:r>
    </w:p>
  </w:footnote>
  <w:footnote w:id="7">
    <w:p w:rsidR="007A0BB2" w:rsidRPr="00A45E73" w:rsidRDefault="007A0BB2" w:rsidP="007A0BB2">
      <w:pPr>
        <w:pStyle w:val="FootnoteText"/>
        <w:rPr>
          <w:lang w:val="lv-LV"/>
        </w:rPr>
      </w:pPr>
      <w:r>
        <w:rPr>
          <w:rStyle w:val="FootnoteReference"/>
        </w:rPr>
        <w:footnoteRef/>
      </w:r>
      <w:r w:rsidRPr="00A45E73">
        <w:rPr>
          <w:lang w:val="lv-LV"/>
        </w:rPr>
        <w:t xml:space="preserve"> </w:t>
      </w:r>
      <w:r>
        <w:rPr>
          <w:lang w:val="lv-LV"/>
        </w:rPr>
        <w:t>Turpat, 493.lpp.</w:t>
      </w:r>
    </w:p>
  </w:footnote>
  <w:footnote w:id="8">
    <w:p w:rsidR="007A0BB2" w:rsidRPr="000A601B" w:rsidRDefault="007A0BB2" w:rsidP="007A0BB2">
      <w:pPr>
        <w:pStyle w:val="FootnoteText"/>
        <w:rPr>
          <w:lang w:val="lv-LV"/>
        </w:rPr>
      </w:pPr>
      <w:r>
        <w:rPr>
          <w:rStyle w:val="FootnoteReference"/>
        </w:rPr>
        <w:footnoteRef/>
      </w:r>
      <w:r w:rsidRPr="000A601B">
        <w:rPr>
          <w:lang w:val="lv-LV"/>
        </w:rPr>
        <w:t xml:space="preserve"> </w:t>
      </w:r>
      <w:r>
        <w:rPr>
          <w:lang w:val="lv-LV"/>
        </w:rPr>
        <w:t>Kūtris G. Izmeklēšanas tiesneši: jauns institūts kriminālprocesā. Jurista vārds, 2006., Nr.2, 1.lpp.</w:t>
      </w:r>
    </w:p>
  </w:footnote>
  <w:footnote w:id="9">
    <w:p w:rsidR="007A0BB2" w:rsidRPr="000A601B" w:rsidRDefault="007A0BB2" w:rsidP="007A0BB2">
      <w:pPr>
        <w:pStyle w:val="FootnoteText"/>
        <w:rPr>
          <w:lang w:val="lv-LV"/>
        </w:rPr>
      </w:pPr>
      <w:r>
        <w:rPr>
          <w:rStyle w:val="FootnoteReference"/>
        </w:rPr>
        <w:footnoteRef/>
      </w:r>
      <w:r w:rsidRPr="000A601B">
        <w:rPr>
          <w:lang w:val="lv-LV"/>
        </w:rPr>
        <w:t xml:space="preserve"> </w:t>
      </w:r>
      <w:r>
        <w:rPr>
          <w:lang w:val="lv-LV"/>
        </w:rPr>
        <w:t>Turpat, 1.lpp.</w:t>
      </w:r>
    </w:p>
  </w:footnote>
  <w:footnote w:id="10">
    <w:p w:rsidR="007A0BB2" w:rsidRPr="003C7BD3" w:rsidRDefault="007A0BB2" w:rsidP="007A0BB2">
      <w:pPr>
        <w:jc w:val="both"/>
        <w:rPr>
          <w:sz w:val="20"/>
          <w:szCs w:val="20"/>
        </w:rPr>
      </w:pPr>
      <w:r w:rsidRPr="008A533D">
        <w:rPr>
          <w:rStyle w:val="FootnoteReference"/>
        </w:rPr>
        <w:footnoteRef/>
      </w:r>
      <w:r>
        <w:t xml:space="preserve"> </w:t>
      </w:r>
      <w:r w:rsidRPr="003C7BD3">
        <w:rPr>
          <w:sz w:val="20"/>
          <w:szCs w:val="20"/>
        </w:rPr>
        <w:t>Комментарий к Уголовно-процессуальному кодексу Российской Федерации. отв.ред. И.Л.Петрухин., 3-е изд., Москва., изд-во Проспект, 2004., стр.178-179</w:t>
      </w:r>
    </w:p>
  </w:footnote>
  <w:footnote w:id="11">
    <w:p w:rsidR="007A0BB2" w:rsidRPr="00FD1152" w:rsidRDefault="007A0BB2" w:rsidP="007A0BB2">
      <w:pPr>
        <w:pStyle w:val="FootnoteText"/>
        <w:rPr>
          <w:lang w:val="lv-LV"/>
        </w:rPr>
      </w:pPr>
      <w:r>
        <w:rPr>
          <w:rStyle w:val="FootnoteReference"/>
        </w:rPr>
        <w:footnoteRef/>
      </w:r>
      <w:r w:rsidRPr="00FD1152">
        <w:rPr>
          <w:lang w:val="lv-LV"/>
        </w:rPr>
        <w:t xml:space="preserve"> </w:t>
      </w:r>
      <w:r>
        <w:rPr>
          <w:lang w:val="lv-LV"/>
        </w:rPr>
        <w:t>Latviešu valodas vārdnīca, Rīga: Avots, Otrais izdevums, 1988, 569.lpp.</w:t>
      </w:r>
    </w:p>
  </w:footnote>
  <w:footnote w:id="12">
    <w:p w:rsidR="007A0BB2" w:rsidRPr="009119BE" w:rsidRDefault="007A0BB2" w:rsidP="007A0BB2">
      <w:pPr>
        <w:pStyle w:val="FootnoteText"/>
        <w:rPr>
          <w:lang w:val="lv-LV"/>
        </w:rPr>
      </w:pPr>
      <w:r>
        <w:rPr>
          <w:rStyle w:val="FootnoteReference"/>
        </w:rPr>
        <w:footnoteRef/>
      </w:r>
      <w:r w:rsidRPr="009119BE">
        <w:rPr>
          <w:lang w:val="lv-LV"/>
        </w:rPr>
        <w:t xml:space="preserve"> </w:t>
      </w:r>
      <w:r>
        <w:rPr>
          <w:lang w:val="lv-LV"/>
        </w:rPr>
        <w:t>Turpat, 569.lpp.</w:t>
      </w:r>
    </w:p>
  </w:footnote>
  <w:footnote w:id="13">
    <w:p w:rsidR="007A0BB2" w:rsidRPr="00AC17B4" w:rsidRDefault="007A0BB2" w:rsidP="007A0BB2">
      <w:pPr>
        <w:pStyle w:val="FootnoteText"/>
        <w:rPr>
          <w:lang w:val="lv-LV"/>
        </w:rPr>
      </w:pPr>
      <w:r>
        <w:rPr>
          <w:rStyle w:val="FootnoteReference"/>
        </w:rPr>
        <w:footnoteRef/>
      </w:r>
      <w:r w:rsidRPr="00AC17B4">
        <w:rPr>
          <w:lang w:val="lv-LV"/>
        </w:rPr>
        <w:t xml:space="preserve"> </w:t>
      </w:r>
      <w:r>
        <w:rPr>
          <w:lang w:val="lv-LV"/>
        </w:rPr>
        <w:t>Latviešu valodas vārdnīca, Rīga: Avots, Otrais izdevums, 1988, 67.lpp.</w:t>
      </w:r>
    </w:p>
  </w:footnote>
  <w:footnote w:id="14">
    <w:p w:rsidR="007A0BB2" w:rsidRPr="00006D1C" w:rsidRDefault="007A0BB2" w:rsidP="007A0BB2">
      <w:pPr>
        <w:pStyle w:val="FootnoteText"/>
        <w:rPr>
          <w:lang w:val="lv-LV"/>
        </w:rPr>
      </w:pPr>
      <w:r>
        <w:rPr>
          <w:rStyle w:val="FootnoteReference"/>
        </w:rPr>
        <w:footnoteRef/>
      </w:r>
      <w:r w:rsidRPr="00006D1C">
        <w:rPr>
          <w:lang w:val="lv-LV"/>
        </w:rPr>
        <w:t xml:space="preserve"> </w:t>
      </w:r>
      <w:r>
        <w:rPr>
          <w:lang w:val="lv-LV"/>
        </w:rPr>
        <w:t xml:space="preserve"> Latvijas Kriminālprocesa kodekss .Rīga: Tiesu namu aģentūra, 2002, 46.lpp.</w:t>
      </w:r>
    </w:p>
  </w:footnote>
  <w:footnote w:id="15">
    <w:p w:rsidR="007A0BB2" w:rsidRPr="00FC3C36" w:rsidRDefault="007A0BB2" w:rsidP="007A0BB2">
      <w:pPr>
        <w:pStyle w:val="FootnoteText"/>
        <w:jc w:val="both"/>
        <w:rPr>
          <w:lang w:val="lv-LV"/>
        </w:rPr>
      </w:pPr>
      <w:r>
        <w:rPr>
          <w:rStyle w:val="FootnoteReference"/>
        </w:rPr>
        <w:footnoteRef/>
      </w:r>
      <w:r>
        <w:rPr>
          <w:lang w:val="lv-LV"/>
        </w:rPr>
        <w:t xml:space="preserve"> </w:t>
      </w:r>
      <w:r w:rsidRPr="009412EF">
        <w:rPr>
          <w:lang w:val="lv-LV"/>
        </w:rPr>
        <w:t>Cilvēktiesību rokasgrāmata tiesnešiem. Rīga:</w:t>
      </w:r>
      <w:r>
        <w:rPr>
          <w:lang w:val="lv-LV"/>
        </w:rPr>
        <w:t xml:space="preserve"> </w:t>
      </w:r>
      <w:r w:rsidRPr="009412EF">
        <w:rPr>
          <w:lang w:val="lv-LV"/>
        </w:rPr>
        <w:t>Latvijas Universitātes Juridiskās fakultātes Cilvēktiesību institūts, 2004</w:t>
      </w:r>
      <w:r>
        <w:rPr>
          <w:lang w:val="lv-LV"/>
        </w:rPr>
        <w:t>, 45.lpp.</w:t>
      </w:r>
    </w:p>
  </w:footnote>
  <w:footnote w:id="16">
    <w:p w:rsidR="007A0BB2" w:rsidRPr="00FC3C36" w:rsidRDefault="007A0BB2" w:rsidP="007A0BB2">
      <w:pPr>
        <w:pStyle w:val="FootnoteText"/>
        <w:rPr>
          <w:lang w:val="lv-LV"/>
        </w:rPr>
      </w:pPr>
      <w:r w:rsidRPr="00FC3C36">
        <w:rPr>
          <w:rStyle w:val="FootnoteReference"/>
        </w:rPr>
        <w:footnoteRef/>
      </w:r>
      <w:r w:rsidRPr="00FC3C36">
        <w:rPr>
          <w:b/>
          <w:lang w:val="lv-LV"/>
        </w:rPr>
        <w:t xml:space="preserve"> </w:t>
      </w:r>
      <w:r w:rsidRPr="00FC3C36">
        <w:rPr>
          <w:lang w:val="lv-LV"/>
        </w:rPr>
        <w:t xml:space="preserve">Eiropas Cilvēktiesību konvencijas desmit gadi Latvijā, laikraksts Diena, </w:t>
      </w:r>
      <w:smartTag w:uri="schemas-tilde-lv/tildestengine" w:element="date">
        <w:smartTagPr>
          <w:attr w:name="Day" w:val="27"/>
          <w:attr w:name="Month" w:val="6"/>
          <w:attr w:name="Year" w:val="2007"/>
        </w:smartTagPr>
        <w:r w:rsidRPr="00FC3C36">
          <w:rPr>
            <w:lang w:val="lv-LV"/>
          </w:rPr>
          <w:t>27.06.2007</w:t>
        </w:r>
      </w:smartTag>
      <w:r w:rsidRPr="00FC3C36">
        <w:rPr>
          <w:lang w:val="lv-LV"/>
        </w:rPr>
        <w:t>.</w:t>
      </w:r>
    </w:p>
  </w:footnote>
  <w:footnote w:id="17">
    <w:p w:rsidR="007A0BB2" w:rsidRPr="009412EF" w:rsidRDefault="007A0BB2" w:rsidP="007A0BB2">
      <w:pPr>
        <w:pStyle w:val="FootnoteText"/>
        <w:jc w:val="both"/>
      </w:pPr>
      <w:r w:rsidRPr="00FC3C36">
        <w:rPr>
          <w:rStyle w:val="FootnoteReference"/>
        </w:rPr>
        <w:footnoteRef/>
      </w:r>
      <w:r>
        <w:t xml:space="preserve">  </w:t>
      </w:r>
      <w:r w:rsidRPr="00531E2B">
        <w:rPr>
          <w:lang w:val="lv-LV"/>
        </w:rPr>
        <w:t xml:space="preserve">Lavents lauž pilno vadzi. </w:t>
      </w:r>
      <w:hyperlink r:id="rId4" w:history="1">
        <w:r w:rsidRPr="009918CC">
          <w:rPr>
            <w:rStyle w:val="Hyperlink"/>
            <w:color w:val="auto"/>
            <w:u w:val="none"/>
          </w:rPr>
          <w:t>www.politika.lv/index.php.?id=4745 (aplūkots</w:t>
        </w:r>
      </w:hyperlink>
      <w:r w:rsidRPr="009918CC">
        <w:t xml:space="preserve"> 15.02.</w:t>
      </w:r>
      <w:r w:rsidRPr="009412EF">
        <w:t>2008.)</w:t>
      </w:r>
    </w:p>
    <w:p w:rsidR="007A0BB2" w:rsidRDefault="007A0BB2" w:rsidP="007A0BB2">
      <w:pPr>
        <w:pStyle w:val="FootnoteText"/>
        <w:ind w:left="720"/>
        <w:jc w:val="both"/>
      </w:pPr>
    </w:p>
    <w:p w:rsidR="007A0BB2" w:rsidRPr="00FC3C36" w:rsidRDefault="007A0BB2" w:rsidP="007A0BB2">
      <w:pPr>
        <w:pStyle w:val="FootnoteText"/>
      </w:pPr>
    </w:p>
  </w:footnote>
  <w:footnote w:id="18">
    <w:p w:rsidR="007A0BB2" w:rsidRDefault="007A0BB2" w:rsidP="007A0BB2">
      <w:pPr>
        <w:pStyle w:val="FootnoteText"/>
      </w:pPr>
      <w:r>
        <w:rPr>
          <w:rStyle w:val="FootnoteReference"/>
        </w:rPr>
        <w:footnoteRef/>
      </w:r>
      <w:r>
        <w:t xml:space="preserve"> </w:t>
      </w:r>
      <w:r w:rsidRPr="009412EF">
        <w:t xml:space="preserve">Kāds ir spriedums lietā ‘’Lavents pret Latvijas valsti?’ </w:t>
      </w:r>
    </w:p>
    <w:p w:rsidR="007A0BB2" w:rsidRPr="009918CC" w:rsidRDefault="007A0BB2" w:rsidP="007A0BB2">
      <w:pPr>
        <w:pStyle w:val="FootnoteText"/>
      </w:pPr>
      <w:hyperlink r:id="rId5" w:history="1">
        <w:r w:rsidRPr="009918CC">
          <w:rPr>
            <w:rStyle w:val="Hyperlink"/>
            <w:u w:val="none"/>
          </w:rPr>
          <w:t>www.politika.lv/index.php.?id=2439 (aplūkots</w:t>
        </w:r>
      </w:hyperlink>
      <w:r w:rsidRPr="009918CC">
        <w:t xml:space="preserve"> 18.03.2008.)</w:t>
      </w:r>
    </w:p>
  </w:footnote>
  <w:footnote w:id="19">
    <w:p w:rsidR="007A0BB2" w:rsidRPr="00D62C6A" w:rsidRDefault="007A0BB2" w:rsidP="007A0BB2">
      <w:pPr>
        <w:pStyle w:val="FootnoteText"/>
        <w:jc w:val="both"/>
        <w:rPr>
          <w:lang w:val="ru-RU"/>
        </w:rPr>
      </w:pPr>
      <w:r w:rsidRPr="00927839">
        <w:rPr>
          <w:rStyle w:val="FootnoteReference"/>
        </w:rPr>
        <w:footnoteRef/>
      </w:r>
      <w:r>
        <w:t xml:space="preserve"> </w:t>
      </w:r>
      <w:r w:rsidRPr="009412EF">
        <w:t xml:space="preserve">Aiz restēm pirms tiesas – cik pamatoti? </w:t>
      </w:r>
      <w:hyperlink r:id="rId6" w:history="1">
        <w:r w:rsidRPr="009412EF">
          <w:rPr>
            <w:rStyle w:val="Hyperlink"/>
            <w:u w:val="none"/>
          </w:rPr>
          <w:t>www</w:t>
        </w:r>
        <w:r w:rsidRPr="00D62C6A">
          <w:rPr>
            <w:rStyle w:val="Hyperlink"/>
            <w:u w:val="none"/>
            <w:lang w:val="ru-RU"/>
          </w:rPr>
          <w:t>.</w:t>
        </w:r>
        <w:r w:rsidRPr="009412EF">
          <w:rPr>
            <w:rStyle w:val="Hyperlink"/>
            <w:u w:val="none"/>
          </w:rPr>
          <w:t>politika</w:t>
        </w:r>
        <w:r w:rsidRPr="00D62C6A">
          <w:rPr>
            <w:rStyle w:val="Hyperlink"/>
            <w:u w:val="none"/>
            <w:lang w:val="ru-RU"/>
          </w:rPr>
          <w:t>.</w:t>
        </w:r>
        <w:r w:rsidRPr="009412EF">
          <w:rPr>
            <w:rStyle w:val="Hyperlink"/>
            <w:u w:val="none"/>
          </w:rPr>
          <w:t>lv</w:t>
        </w:r>
        <w:r w:rsidRPr="00D62C6A">
          <w:rPr>
            <w:rStyle w:val="Hyperlink"/>
            <w:u w:val="none"/>
            <w:lang w:val="ru-RU"/>
          </w:rPr>
          <w:t>/</w:t>
        </w:r>
        <w:r w:rsidRPr="009412EF">
          <w:rPr>
            <w:rStyle w:val="Hyperlink"/>
            <w:u w:val="none"/>
          </w:rPr>
          <w:t>index</w:t>
        </w:r>
        <w:r w:rsidRPr="00D62C6A">
          <w:rPr>
            <w:rStyle w:val="Hyperlink"/>
            <w:u w:val="none"/>
            <w:lang w:val="ru-RU"/>
          </w:rPr>
          <w:t>.</w:t>
        </w:r>
        <w:r w:rsidRPr="009412EF">
          <w:rPr>
            <w:rStyle w:val="Hyperlink"/>
            <w:u w:val="none"/>
          </w:rPr>
          <w:t>php</w:t>
        </w:r>
        <w:r w:rsidRPr="00D62C6A">
          <w:rPr>
            <w:rStyle w:val="Hyperlink"/>
            <w:u w:val="none"/>
            <w:lang w:val="ru-RU"/>
          </w:rPr>
          <w:t>.?</w:t>
        </w:r>
        <w:r w:rsidRPr="009412EF">
          <w:rPr>
            <w:rStyle w:val="Hyperlink"/>
            <w:u w:val="none"/>
          </w:rPr>
          <w:t>id</w:t>
        </w:r>
        <w:r w:rsidRPr="00D62C6A">
          <w:rPr>
            <w:rStyle w:val="Hyperlink"/>
            <w:u w:val="none"/>
            <w:lang w:val="ru-RU"/>
          </w:rPr>
          <w:t>=4745 (</w:t>
        </w:r>
        <w:r w:rsidRPr="009412EF">
          <w:rPr>
            <w:rStyle w:val="Hyperlink"/>
            <w:u w:val="none"/>
          </w:rPr>
          <w:t>apl</w:t>
        </w:r>
        <w:r w:rsidRPr="00D62C6A">
          <w:rPr>
            <w:rStyle w:val="Hyperlink"/>
            <w:u w:val="none"/>
            <w:lang w:val="ru-RU"/>
          </w:rPr>
          <w:t>ū</w:t>
        </w:r>
        <w:r w:rsidRPr="009412EF">
          <w:rPr>
            <w:rStyle w:val="Hyperlink"/>
            <w:u w:val="none"/>
          </w:rPr>
          <w:t>kots</w:t>
        </w:r>
      </w:hyperlink>
      <w:r w:rsidRPr="00D62C6A">
        <w:rPr>
          <w:lang w:val="ru-RU"/>
        </w:rPr>
        <w:t xml:space="preserve"> 24.04.2008.)</w:t>
      </w:r>
    </w:p>
    <w:p w:rsidR="007A0BB2" w:rsidRPr="00D62C6A" w:rsidRDefault="007A0BB2" w:rsidP="007A0BB2">
      <w:pPr>
        <w:pStyle w:val="FootnoteText"/>
        <w:rPr>
          <w:lang w:val="ru-RU"/>
        </w:rPr>
      </w:pPr>
    </w:p>
  </w:footnote>
  <w:footnote w:id="20">
    <w:p w:rsidR="007A0BB2" w:rsidRPr="003C7BD3" w:rsidRDefault="007A0BB2" w:rsidP="007A0BB2">
      <w:pPr>
        <w:jc w:val="both"/>
        <w:rPr>
          <w:sz w:val="20"/>
          <w:szCs w:val="20"/>
        </w:rPr>
      </w:pPr>
      <w:r>
        <w:rPr>
          <w:rStyle w:val="FootnoteReference"/>
        </w:rPr>
        <w:footnoteRef/>
      </w:r>
      <w:r>
        <w:t xml:space="preserve"> </w:t>
      </w:r>
      <w:r w:rsidRPr="003C7BD3">
        <w:rPr>
          <w:sz w:val="20"/>
          <w:szCs w:val="20"/>
        </w:rPr>
        <w:t>Комментарий к Уголовно-процессуальному кодексу Российской Федерации. отв.ред. И.Л.Петрухин., 3-е изд., Москва., изд-во Проспект, 2004., стр.</w:t>
      </w:r>
      <w:r>
        <w:rPr>
          <w:sz w:val="20"/>
          <w:szCs w:val="20"/>
        </w:rPr>
        <w:t>38</w:t>
      </w:r>
    </w:p>
    <w:p w:rsidR="007A0BB2" w:rsidRPr="00E868B9" w:rsidRDefault="007A0BB2" w:rsidP="007A0BB2">
      <w:pPr>
        <w:pStyle w:val="FootnoteText"/>
        <w:rPr>
          <w:lang w:val="lv-LV"/>
        </w:rPr>
      </w:pPr>
    </w:p>
  </w:footnote>
  <w:footnote w:id="21">
    <w:p w:rsidR="007A0BB2" w:rsidRPr="00003BE4" w:rsidRDefault="007A0BB2" w:rsidP="007A0BB2">
      <w:pPr>
        <w:pStyle w:val="FootnoteText"/>
        <w:rPr>
          <w:lang w:val="lv-LV"/>
        </w:rPr>
      </w:pPr>
      <w:r w:rsidRPr="00003BE4">
        <w:rPr>
          <w:rStyle w:val="FootnoteReference"/>
        </w:rPr>
        <w:footnoteRef/>
      </w:r>
      <w:r w:rsidRPr="00003BE4">
        <w:rPr>
          <w:lang w:val="lv-LV"/>
        </w:rPr>
        <w:t xml:space="preserve">  T</w:t>
      </w:r>
      <w:r>
        <w:rPr>
          <w:lang w:val="lv-LV"/>
        </w:rPr>
        <w:t>urpat, 93.</w:t>
      </w:r>
      <w:r w:rsidRPr="00124072">
        <w:rPr>
          <w:lang w:val="lv-LV"/>
        </w:rPr>
        <w:t xml:space="preserve"> </w:t>
      </w:r>
      <w:r>
        <w:rPr>
          <w:lang w:val="lv-LV"/>
        </w:rPr>
        <w:t>lpp.</w:t>
      </w:r>
    </w:p>
  </w:footnote>
  <w:footnote w:id="22">
    <w:p w:rsidR="007A0BB2" w:rsidRPr="00003BE4" w:rsidRDefault="007A0BB2" w:rsidP="007A0BB2">
      <w:pPr>
        <w:pStyle w:val="FootnoteText"/>
        <w:rPr>
          <w:lang w:val="lv-LV"/>
        </w:rPr>
      </w:pPr>
      <w:r w:rsidRPr="00003BE4">
        <w:rPr>
          <w:rStyle w:val="FootnoteReference"/>
        </w:rPr>
        <w:footnoteRef/>
      </w:r>
      <w:r>
        <w:rPr>
          <w:lang w:val="lv-LV"/>
        </w:rPr>
        <w:t xml:space="preserve"> Turpat, 97. lpp.</w:t>
      </w:r>
    </w:p>
  </w:footnote>
  <w:footnote w:id="23">
    <w:p w:rsidR="007A0BB2" w:rsidRPr="00003BE4" w:rsidRDefault="007A0BB2" w:rsidP="007A0BB2">
      <w:pPr>
        <w:pStyle w:val="FootnoteText"/>
        <w:jc w:val="both"/>
        <w:rPr>
          <w:lang w:val="lv-LV"/>
        </w:rPr>
      </w:pPr>
      <w:r w:rsidRPr="00003BE4">
        <w:rPr>
          <w:rStyle w:val="FootnoteReference"/>
        </w:rPr>
        <w:footnoteRef/>
      </w:r>
      <w:r w:rsidRPr="0079676C">
        <w:rPr>
          <w:lang w:val="lv-LV"/>
        </w:rPr>
        <w:t xml:space="preserve"> Strasbūras tiesu pr</w:t>
      </w:r>
      <w:r>
        <w:rPr>
          <w:lang w:val="lv-LV"/>
        </w:rPr>
        <w:t xml:space="preserve">akse apcietinājuma piemērošanā. </w:t>
      </w:r>
      <w:r w:rsidRPr="0079676C">
        <w:rPr>
          <w:lang w:val="lv-LV"/>
        </w:rPr>
        <w:t>Spriedumu fragmentu izlase. D.Krauss, J.K.Pastile, E.Rusanovs.,</w:t>
      </w:r>
      <w:r>
        <w:rPr>
          <w:lang w:val="lv-LV"/>
        </w:rPr>
        <w:t xml:space="preserve"> Rīga: Latvijas Vēstnesis, 2004, </w:t>
      </w:r>
      <w:r w:rsidRPr="009E36A8">
        <w:rPr>
          <w:lang w:val="lv-LV"/>
        </w:rPr>
        <w:t>27-28.lpp</w:t>
      </w:r>
    </w:p>
  </w:footnote>
  <w:footnote w:id="24">
    <w:p w:rsidR="007A0BB2" w:rsidRPr="009E36A8" w:rsidRDefault="007A0BB2" w:rsidP="007A0BB2">
      <w:pPr>
        <w:jc w:val="both"/>
        <w:rPr>
          <w:sz w:val="20"/>
          <w:szCs w:val="20"/>
        </w:rPr>
      </w:pPr>
      <w:r>
        <w:rPr>
          <w:rStyle w:val="FootnoteReference"/>
        </w:rPr>
        <w:footnoteRef/>
      </w:r>
      <w:r w:rsidRPr="003C7BD3">
        <w:rPr>
          <w:sz w:val="20"/>
          <w:szCs w:val="20"/>
        </w:rPr>
        <w:t>Комментарий к Уголовно-процессуальному кодексу Российской Федерации. отв.ред. И.Л.Петрухин., 3-е изд., Москва., изд-во Проспект, 2004., стр.</w:t>
      </w:r>
      <w:r>
        <w:rPr>
          <w:sz w:val="20"/>
          <w:szCs w:val="20"/>
        </w:rPr>
        <w:t xml:space="preserve"> </w:t>
      </w:r>
      <w:r w:rsidRPr="009E36A8">
        <w:rPr>
          <w:sz w:val="20"/>
          <w:szCs w:val="20"/>
        </w:rPr>
        <w:t>36-37</w:t>
      </w:r>
    </w:p>
  </w:footnote>
  <w:footnote w:id="25">
    <w:p w:rsidR="007A0BB2" w:rsidRPr="009E36A8" w:rsidRDefault="007A0BB2" w:rsidP="007A0BB2">
      <w:pPr>
        <w:jc w:val="both"/>
        <w:rPr>
          <w:sz w:val="20"/>
          <w:szCs w:val="20"/>
        </w:rPr>
      </w:pPr>
      <w:r>
        <w:rPr>
          <w:rStyle w:val="FootnoteReference"/>
        </w:rPr>
        <w:footnoteRef/>
      </w:r>
      <w:r>
        <w:t xml:space="preserve"> </w:t>
      </w:r>
      <w:r w:rsidRPr="00FE58FD">
        <w:rPr>
          <w:sz w:val="20"/>
          <w:szCs w:val="20"/>
        </w:rPr>
        <w:t xml:space="preserve">Комментарий к Уголовно-процессуальному кодексу Российской Федерации. </w:t>
      </w:r>
      <w:r>
        <w:rPr>
          <w:sz w:val="20"/>
          <w:szCs w:val="20"/>
          <w:lang w:val="ru-RU"/>
        </w:rPr>
        <w:t>О</w:t>
      </w:r>
      <w:r w:rsidRPr="00FE58FD">
        <w:rPr>
          <w:sz w:val="20"/>
          <w:szCs w:val="20"/>
        </w:rPr>
        <w:t xml:space="preserve">тв.ред. И.Л.Петрухин., </w:t>
      </w:r>
      <w:r>
        <w:rPr>
          <w:sz w:val="20"/>
          <w:szCs w:val="20"/>
          <w:lang w:val="ru-RU"/>
        </w:rPr>
        <w:t>6</w:t>
      </w:r>
      <w:r w:rsidRPr="00FE58FD">
        <w:rPr>
          <w:sz w:val="20"/>
          <w:szCs w:val="20"/>
        </w:rPr>
        <w:t>-е изд., Москва., изд-во Проспект, 200</w:t>
      </w:r>
      <w:r>
        <w:rPr>
          <w:sz w:val="20"/>
          <w:szCs w:val="20"/>
          <w:lang w:val="ru-RU"/>
        </w:rPr>
        <w:t>8</w:t>
      </w:r>
      <w:r>
        <w:rPr>
          <w:sz w:val="20"/>
          <w:szCs w:val="20"/>
        </w:rPr>
        <w:t>., стр.6</w:t>
      </w:r>
    </w:p>
  </w:footnote>
  <w:footnote w:id="26">
    <w:p w:rsidR="007A0BB2" w:rsidRPr="006F1BA6" w:rsidRDefault="007A0BB2" w:rsidP="007A0BB2">
      <w:pPr>
        <w:pStyle w:val="FootnoteText"/>
        <w:rPr>
          <w:lang w:val="lv-LV"/>
        </w:rPr>
      </w:pPr>
      <w:r>
        <w:rPr>
          <w:rStyle w:val="FootnoteReference"/>
        </w:rPr>
        <w:footnoteRef/>
      </w:r>
      <w:r w:rsidRPr="006F1BA6">
        <w:rPr>
          <w:lang w:val="lv-LV"/>
        </w:rPr>
        <w:t xml:space="preserve"> Latvija</w:t>
      </w:r>
      <w:r>
        <w:rPr>
          <w:lang w:val="lv-LV"/>
        </w:rPr>
        <w:t>s k</w:t>
      </w:r>
      <w:r w:rsidRPr="006F1BA6">
        <w:rPr>
          <w:lang w:val="lv-LV"/>
        </w:rPr>
        <w:t>riminālprocesa kod</w:t>
      </w:r>
      <w:r>
        <w:rPr>
          <w:lang w:val="lv-LV"/>
        </w:rPr>
        <w:t xml:space="preserve">ekss. Rīga: Tiesu nama aģentūra, </w:t>
      </w:r>
      <w:r w:rsidRPr="006F1BA6">
        <w:rPr>
          <w:lang w:val="lv-LV"/>
        </w:rPr>
        <w:t>2002</w:t>
      </w:r>
      <w:r>
        <w:rPr>
          <w:lang w:val="lv-LV"/>
        </w:rPr>
        <w:t xml:space="preserve">, 156.lpp. </w:t>
      </w:r>
    </w:p>
  </w:footnote>
  <w:footnote w:id="27">
    <w:p w:rsidR="007A0BB2" w:rsidRPr="00E555CB" w:rsidRDefault="007A0BB2" w:rsidP="007A0BB2">
      <w:pPr>
        <w:pStyle w:val="FootnoteText"/>
      </w:pPr>
      <w:r w:rsidRPr="00E555CB">
        <w:rPr>
          <w:rStyle w:val="FootnoteReference"/>
        </w:rPr>
        <w:footnoteRef/>
      </w:r>
      <w:r w:rsidRPr="00E555CB">
        <w:t xml:space="preserve"> Satversmes tiesas spriedums lietā nr.2000-03-01-&amp;8</w:t>
      </w:r>
    </w:p>
  </w:footnote>
  <w:footnote w:id="28">
    <w:p w:rsidR="007A0BB2" w:rsidRPr="00E555CB" w:rsidRDefault="007A0BB2" w:rsidP="007A0BB2">
      <w:pPr>
        <w:pStyle w:val="FootnoteText"/>
        <w:rPr>
          <w:lang w:val="lv-LV"/>
        </w:rPr>
      </w:pPr>
      <w:r w:rsidRPr="00E555CB">
        <w:rPr>
          <w:rStyle w:val="FootnoteReference"/>
        </w:rPr>
        <w:footnoteRef/>
      </w:r>
      <w:r w:rsidRPr="00E555CB">
        <w:t xml:space="preserve"> Artico v. Italy. Appl.No.6694/74, 13 May 1980, Series A. No.37-&amp;33 </w:t>
      </w:r>
    </w:p>
  </w:footnote>
  <w:footnote w:id="29">
    <w:p w:rsidR="007A0BB2" w:rsidRPr="005763AF" w:rsidRDefault="007A0BB2" w:rsidP="007A0BB2">
      <w:pPr>
        <w:pStyle w:val="FootnoteText"/>
        <w:rPr>
          <w:lang w:val="lv-LV"/>
        </w:rPr>
      </w:pPr>
      <w:r>
        <w:rPr>
          <w:rStyle w:val="FootnoteReference"/>
        </w:rPr>
        <w:footnoteRef/>
      </w:r>
      <w:r>
        <w:t xml:space="preserve"> </w:t>
      </w:r>
      <w:r>
        <w:rPr>
          <w:lang w:val="lv-LV"/>
        </w:rPr>
        <w:t xml:space="preserve">Satversmes tiesas spriedums nr.2003-03-01 </w:t>
      </w:r>
    </w:p>
  </w:footnote>
  <w:footnote w:id="30">
    <w:p w:rsidR="007A0BB2" w:rsidRPr="005763AF" w:rsidRDefault="007A0BB2" w:rsidP="007A0BB2">
      <w:pPr>
        <w:pStyle w:val="FootnoteText"/>
        <w:rPr>
          <w:lang w:val="lv-LV"/>
        </w:rPr>
      </w:pPr>
      <w:r>
        <w:rPr>
          <w:rStyle w:val="FootnoteReference"/>
        </w:rPr>
        <w:footnoteRef/>
      </w:r>
      <w:r>
        <w:t xml:space="preserve"> </w:t>
      </w:r>
      <w:r>
        <w:rPr>
          <w:lang w:val="lv-LV"/>
        </w:rPr>
        <w:t>Turpat.</w:t>
      </w:r>
    </w:p>
  </w:footnote>
  <w:footnote w:id="31">
    <w:p w:rsidR="007A0BB2" w:rsidRPr="00B568C2" w:rsidRDefault="007A0BB2" w:rsidP="007A0BB2">
      <w:pPr>
        <w:pStyle w:val="FootnoteText"/>
        <w:jc w:val="both"/>
        <w:rPr>
          <w:lang w:val="lv-LV"/>
        </w:rPr>
      </w:pPr>
      <w:r>
        <w:rPr>
          <w:rStyle w:val="FootnoteReference"/>
        </w:rPr>
        <w:footnoteRef/>
      </w:r>
      <w:r w:rsidRPr="00B568C2">
        <w:rPr>
          <w:lang w:val="lv-LV"/>
        </w:rPr>
        <w:t xml:space="preserve"> </w:t>
      </w:r>
      <w:r w:rsidRPr="009412EF">
        <w:rPr>
          <w:lang w:val="lv-LV"/>
        </w:rPr>
        <w:t>Latvieš</w:t>
      </w:r>
      <w:r>
        <w:rPr>
          <w:lang w:val="lv-LV"/>
        </w:rPr>
        <w:t>u valodas vārdnīca.</w:t>
      </w:r>
      <w:r w:rsidRPr="009412EF">
        <w:rPr>
          <w:lang w:val="lv-LV"/>
        </w:rPr>
        <w:t xml:space="preserve"> Rīga: Avots, Otrais izdevums, 1988</w:t>
      </w:r>
      <w:r>
        <w:rPr>
          <w:lang w:val="lv-LV"/>
        </w:rPr>
        <w:t>, 23.lpp.</w:t>
      </w:r>
    </w:p>
  </w:footnote>
  <w:footnote w:id="32">
    <w:p w:rsidR="007A0BB2" w:rsidRPr="00143969" w:rsidRDefault="007A0BB2" w:rsidP="007A0BB2">
      <w:pPr>
        <w:pStyle w:val="FootnoteText"/>
        <w:rPr>
          <w:lang w:val="lv-LV"/>
        </w:rPr>
      </w:pPr>
      <w:r>
        <w:rPr>
          <w:rStyle w:val="FootnoteReference"/>
        </w:rPr>
        <w:footnoteRef/>
      </w:r>
      <w:r w:rsidRPr="00143969">
        <w:rPr>
          <w:lang w:val="lv-LV"/>
        </w:rPr>
        <w:t xml:space="preserve"> </w:t>
      </w:r>
      <w:r>
        <w:rPr>
          <w:lang w:val="lv-LV"/>
        </w:rPr>
        <w:t>Juridiskās metodes pamati. 11 soļi tiesību normu piemērošanā, dr.habil.iur. profesora E.Meļķiša zinātniskā redakcijā, Rīga: 2003, 122.lpp.</w:t>
      </w:r>
    </w:p>
  </w:footnote>
  <w:footnote w:id="33">
    <w:p w:rsidR="007A0BB2" w:rsidRPr="009D075E" w:rsidRDefault="007A0BB2" w:rsidP="007A0BB2">
      <w:pPr>
        <w:pStyle w:val="FootnoteText"/>
        <w:rPr>
          <w:lang w:val="lv-LV"/>
        </w:rPr>
      </w:pPr>
      <w:r>
        <w:rPr>
          <w:rStyle w:val="FootnoteReference"/>
        </w:rPr>
        <w:footnoteRef/>
      </w:r>
      <w:r w:rsidRPr="009D075E">
        <w:rPr>
          <w:lang w:val="lv-LV"/>
        </w:rPr>
        <w:t xml:space="preserve"> </w:t>
      </w:r>
      <w:r>
        <w:rPr>
          <w:lang w:val="lv-LV"/>
        </w:rPr>
        <w:t>Latviešu valodas vārdnīca. Rīga: Avots, Otrais izdevums, 1988, 536.lpp.</w:t>
      </w:r>
    </w:p>
  </w:footnote>
  <w:footnote w:id="34">
    <w:p w:rsidR="007A0BB2" w:rsidRPr="00D004F3" w:rsidRDefault="007A0BB2" w:rsidP="007A0BB2">
      <w:pPr>
        <w:jc w:val="both"/>
        <w:rPr>
          <w:sz w:val="20"/>
          <w:szCs w:val="20"/>
        </w:rPr>
      </w:pPr>
      <w:r>
        <w:rPr>
          <w:rStyle w:val="FootnoteReference"/>
        </w:rPr>
        <w:footnoteRef/>
      </w:r>
      <w:r w:rsidRPr="009412EF">
        <w:rPr>
          <w:sz w:val="20"/>
          <w:szCs w:val="20"/>
        </w:rPr>
        <w:t xml:space="preserve">Criminal Procedure Code </w:t>
      </w:r>
      <w:r>
        <w:rPr>
          <w:sz w:val="20"/>
          <w:szCs w:val="20"/>
        </w:rPr>
        <w:t>(Strafprozebordnung,</w:t>
      </w:r>
      <w:r w:rsidRPr="009412EF">
        <w:rPr>
          <w:sz w:val="20"/>
          <w:szCs w:val="20"/>
        </w:rPr>
        <w:t>StPO)</w:t>
      </w:r>
      <w:r>
        <w:t xml:space="preserve"> </w:t>
      </w:r>
      <w:r w:rsidRPr="009412EF">
        <w:rPr>
          <w:sz w:val="20"/>
          <w:szCs w:val="20"/>
        </w:rPr>
        <w:t>http://</w:t>
      </w:r>
      <w:hyperlink r:id="rId7" w:history="1">
        <w:r w:rsidRPr="009412EF">
          <w:rPr>
            <w:rStyle w:val="Hyperlink"/>
            <w:sz w:val="20"/>
            <w:szCs w:val="20"/>
          </w:rPr>
          <w:t>www.iuscomp.org/gla/statutes/StPO.htm</w:t>
        </w:r>
      </w:hyperlink>
    </w:p>
    <w:p w:rsidR="007A0BB2" w:rsidRPr="00A2537A" w:rsidRDefault="007A0BB2" w:rsidP="007A0BB2">
      <w:pPr>
        <w:pStyle w:val="FootnoteText"/>
        <w:rPr>
          <w:sz w:val="24"/>
          <w:szCs w:val="24"/>
          <w:lang w:val="lv-LV"/>
        </w:rPr>
      </w:pPr>
    </w:p>
  </w:footnote>
  <w:footnote w:id="35">
    <w:p w:rsidR="007A0BB2" w:rsidRPr="001F19DC" w:rsidRDefault="007A0BB2" w:rsidP="007A0BB2">
      <w:pPr>
        <w:pStyle w:val="FootnoteText"/>
        <w:rPr>
          <w:lang w:val="lv-LV"/>
        </w:rPr>
      </w:pPr>
      <w:r>
        <w:rPr>
          <w:rStyle w:val="FootnoteReference"/>
        </w:rPr>
        <w:footnoteRef/>
      </w:r>
      <w:r w:rsidRPr="001F19DC">
        <w:rPr>
          <w:lang w:val="lv-LV"/>
        </w:rPr>
        <w:t xml:space="preserve"> </w:t>
      </w:r>
      <w:r>
        <w:rPr>
          <w:lang w:val="lv-LV"/>
        </w:rPr>
        <w:t>Latviešu valodas vārdnīca. Rīga: Avots, Otrais izdevums, 1988, 831.lpp.</w:t>
      </w:r>
    </w:p>
  </w:footnote>
  <w:footnote w:id="36">
    <w:p w:rsidR="007A0BB2" w:rsidRPr="002C00E7" w:rsidRDefault="007A0BB2" w:rsidP="007A0BB2">
      <w:pPr>
        <w:pStyle w:val="FootnoteText"/>
        <w:rPr>
          <w:lang w:val="lv-LV"/>
        </w:rPr>
      </w:pPr>
      <w:r>
        <w:rPr>
          <w:rStyle w:val="FootnoteReference"/>
        </w:rPr>
        <w:footnoteRef/>
      </w:r>
      <w:r w:rsidRPr="002C00E7">
        <w:rPr>
          <w:lang w:val="lv-LV"/>
        </w:rPr>
        <w:t xml:space="preserve"> </w:t>
      </w:r>
      <w:r>
        <w:rPr>
          <w:lang w:val="lv-LV"/>
        </w:rPr>
        <w:t>Kriminālprocess shēmās A.daļa., Ā.Meikališa,K.Strada-Rozenberga, Rīga: Latvijas Vēstnesis, 2007, 334.lpp.</w:t>
      </w:r>
    </w:p>
  </w:footnote>
  <w:footnote w:id="37">
    <w:p w:rsidR="007A0BB2" w:rsidRPr="007A6681" w:rsidRDefault="007A0BB2" w:rsidP="007A0BB2">
      <w:pPr>
        <w:pStyle w:val="FootnoteText"/>
        <w:rPr>
          <w:lang w:val="lv-LV"/>
        </w:rPr>
      </w:pPr>
      <w:r>
        <w:rPr>
          <w:rStyle w:val="FootnoteReference"/>
        </w:rPr>
        <w:footnoteRef/>
      </w:r>
      <w:r w:rsidRPr="007A6681">
        <w:rPr>
          <w:lang w:val="lv-LV"/>
        </w:rPr>
        <w:t xml:space="preserve"> </w:t>
      </w:r>
      <w:r>
        <w:rPr>
          <w:lang w:val="lv-LV"/>
        </w:rPr>
        <w:t>Turpat, 335.lpp.</w:t>
      </w:r>
    </w:p>
  </w:footnote>
  <w:footnote w:id="38">
    <w:p w:rsidR="007A0BB2" w:rsidRPr="0032206C" w:rsidRDefault="007A0BB2" w:rsidP="007A0BB2">
      <w:pPr>
        <w:jc w:val="both"/>
        <w:rPr>
          <w:sz w:val="20"/>
          <w:szCs w:val="20"/>
        </w:rPr>
      </w:pPr>
      <w:r>
        <w:rPr>
          <w:rStyle w:val="FootnoteReference"/>
        </w:rPr>
        <w:footnoteRef/>
      </w:r>
      <w:r>
        <w:t xml:space="preserve"> </w:t>
      </w:r>
      <w:r w:rsidRPr="003C7BD3">
        <w:rPr>
          <w:sz w:val="20"/>
          <w:szCs w:val="20"/>
        </w:rPr>
        <w:t>Комментарий к Уголовно-процессуальному кодексу Российской Федерации. отв.ред. И.Л.Петрухин., 3-е изд., Москва., изд-во Проспект, 2004., стр.</w:t>
      </w:r>
      <w:r w:rsidRPr="0032206C">
        <w:rPr>
          <w:sz w:val="20"/>
          <w:szCs w:val="20"/>
        </w:rPr>
        <w:t>178-179</w:t>
      </w:r>
    </w:p>
  </w:footnote>
  <w:footnote w:id="39">
    <w:p w:rsidR="007A0BB2" w:rsidRPr="0032206C" w:rsidRDefault="007A0BB2" w:rsidP="007A0BB2">
      <w:pPr>
        <w:jc w:val="both"/>
        <w:rPr>
          <w:b/>
          <w:sz w:val="20"/>
          <w:szCs w:val="20"/>
        </w:rPr>
      </w:pPr>
      <w:r>
        <w:rPr>
          <w:rStyle w:val="FootnoteReference"/>
        </w:rPr>
        <w:footnoteRef/>
      </w:r>
      <w:r>
        <w:t xml:space="preserve"> </w:t>
      </w:r>
      <w:r w:rsidRPr="0032206C">
        <w:rPr>
          <w:sz w:val="20"/>
          <w:szCs w:val="20"/>
        </w:rPr>
        <w:t>Kurzemes apgabaltiesas krimināllietu kolēģijas 22.02.2008. lēmums krimināllietā nr.40024007-21. Nav publicēts.</w:t>
      </w:r>
    </w:p>
    <w:p w:rsidR="007A0BB2" w:rsidRPr="0032206C" w:rsidRDefault="007A0BB2" w:rsidP="007A0BB2">
      <w:pPr>
        <w:pStyle w:val="FootnoteText"/>
        <w:rPr>
          <w:lang w:val="lv-LV"/>
        </w:rPr>
      </w:pPr>
    </w:p>
  </w:footnote>
  <w:footnote w:id="40">
    <w:p w:rsidR="007A0BB2" w:rsidRPr="002F7396" w:rsidRDefault="007A0BB2" w:rsidP="007A0BB2">
      <w:pPr>
        <w:pStyle w:val="FootnoteText"/>
        <w:jc w:val="both"/>
        <w:rPr>
          <w:lang w:val="lv-LV"/>
        </w:rPr>
      </w:pPr>
      <w:r>
        <w:rPr>
          <w:rStyle w:val="FootnoteReference"/>
        </w:rPr>
        <w:footnoteRef/>
      </w:r>
      <w:r w:rsidRPr="002F7396">
        <w:rPr>
          <w:lang w:val="lv-LV"/>
        </w:rPr>
        <w:t xml:space="preserve"> </w:t>
      </w:r>
      <w:r w:rsidRPr="009412EF">
        <w:rPr>
          <w:lang w:val="lv-LV"/>
        </w:rPr>
        <w:t>Latviešu valodas vārdnīca, Rīga: Avots, Otrais izdevums, 1988</w:t>
      </w:r>
      <w:r>
        <w:rPr>
          <w:lang w:val="lv-LV"/>
        </w:rPr>
        <w:t>, 505.lpp.</w:t>
      </w:r>
    </w:p>
  </w:footnote>
  <w:footnote w:id="41">
    <w:p w:rsidR="007A0BB2" w:rsidRPr="0059131C" w:rsidRDefault="007A0BB2" w:rsidP="007A0BB2">
      <w:pPr>
        <w:jc w:val="both"/>
        <w:rPr>
          <w:sz w:val="20"/>
          <w:szCs w:val="20"/>
        </w:rPr>
      </w:pPr>
      <w:r>
        <w:rPr>
          <w:rStyle w:val="FootnoteReference"/>
        </w:rPr>
        <w:footnoteRef/>
      </w:r>
      <w:r>
        <w:t xml:space="preserve"> </w:t>
      </w:r>
      <w:r w:rsidRPr="003C7BD3">
        <w:rPr>
          <w:sz w:val="20"/>
          <w:szCs w:val="20"/>
        </w:rPr>
        <w:t>Комментарий к Уголовно-процессуальному кодексу Российской Федерации. отв.ред. И.Л.Петрухин., 3-е изд., Москва., изд-во Проспект, 2004., стр.</w:t>
      </w:r>
      <w:r>
        <w:rPr>
          <w:sz w:val="20"/>
          <w:szCs w:val="20"/>
        </w:rPr>
        <w:t>35</w:t>
      </w:r>
    </w:p>
  </w:footnote>
  <w:footnote w:id="42">
    <w:p w:rsidR="007A0BB2" w:rsidRPr="00D17C6C" w:rsidRDefault="007A0BB2" w:rsidP="007A0BB2">
      <w:pPr>
        <w:pStyle w:val="FootnoteText"/>
        <w:jc w:val="both"/>
        <w:rPr>
          <w:lang w:val="lv-LV"/>
        </w:rPr>
      </w:pPr>
      <w:r>
        <w:rPr>
          <w:rStyle w:val="FootnoteReference"/>
        </w:rPr>
        <w:footnoteRef/>
      </w:r>
      <w:r w:rsidRPr="00D17C6C">
        <w:rPr>
          <w:lang w:val="lv-LV"/>
        </w:rPr>
        <w:t xml:space="preserve"> </w:t>
      </w:r>
      <w:r w:rsidRPr="009412EF">
        <w:rPr>
          <w:lang w:val="lv-LV"/>
        </w:rPr>
        <w:t>Latviešu valodas vārdnīca, Rīga: Avots, Otrais izdevums, 1988</w:t>
      </w:r>
      <w:r>
        <w:rPr>
          <w:lang w:val="lv-LV"/>
        </w:rPr>
        <w:t>, 66.lpp.</w:t>
      </w:r>
    </w:p>
  </w:footnote>
  <w:footnote w:id="43">
    <w:p w:rsidR="007A0BB2" w:rsidRPr="0059131C" w:rsidRDefault="007A0BB2" w:rsidP="007A0BB2">
      <w:pPr>
        <w:jc w:val="both"/>
        <w:rPr>
          <w:b/>
          <w:sz w:val="20"/>
          <w:szCs w:val="20"/>
        </w:rPr>
      </w:pPr>
      <w:r>
        <w:rPr>
          <w:rStyle w:val="FootnoteReference"/>
        </w:rPr>
        <w:footnoteRef/>
      </w:r>
      <w:r w:rsidRPr="0059131C">
        <w:rPr>
          <w:sz w:val="20"/>
          <w:szCs w:val="20"/>
        </w:rPr>
        <w:t>Rīgas pilsētas Vidzemes priekšpilsētas tiesas 12.11.2007. lēmums krimināllietā nr.11810014307.</w:t>
      </w:r>
      <w:r>
        <w:rPr>
          <w:sz w:val="20"/>
          <w:szCs w:val="20"/>
        </w:rPr>
        <w:t xml:space="preserve"> </w:t>
      </w:r>
      <w:r w:rsidRPr="0059131C">
        <w:rPr>
          <w:sz w:val="20"/>
          <w:szCs w:val="20"/>
        </w:rPr>
        <w:t>Nav publicēts.</w:t>
      </w:r>
    </w:p>
    <w:p w:rsidR="007A0BB2" w:rsidRPr="00E460D4" w:rsidRDefault="007A0BB2" w:rsidP="007A0BB2">
      <w:pPr>
        <w:pStyle w:val="FootnoteText"/>
        <w:rPr>
          <w:lang w:val="lv-LV"/>
        </w:rPr>
      </w:pPr>
    </w:p>
  </w:footnote>
  <w:footnote w:id="44">
    <w:p w:rsidR="007A0BB2" w:rsidRPr="000A30C4" w:rsidRDefault="007A0BB2" w:rsidP="007A0BB2">
      <w:pPr>
        <w:pStyle w:val="FootnoteText"/>
        <w:rPr>
          <w:lang w:val="lv-LV"/>
        </w:rPr>
      </w:pPr>
      <w:r>
        <w:rPr>
          <w:rStyle w:val="FootnoteReference"/>
        </w:rPr>
        <w:footnoteRef/>
      </w:r>
      <w:r w:rsidRPr="000A30C4">
        <w:rPr>
          <w:lang w:val="lv-LV"/>
        </w:rPr>
        <w:t xml:space="preserve"> </w:t>
      </w:r>
      <w:r>
        <w:t xml:space="preserve">Kergandberg E., Sillaots </w:t>
      </w:r>
      <w:r w:rsidRPr="000A30C4">
        <w:t>M.</w:t>
      </w:r>
      <w:r>
        <w:t>,</w:t>
      </w:r>
      <w:r w:rsidRPr="000A30C4">
        <w:t xml:space="preserve"> "Kiriminaalmenetlus".</w:t>
      </w:r>
      <w:r>
        <w:t xml:space="preserve"> Juura, Tallinn 2006., 216, 477.</w:t>
      </w:r>
    </w:p>
  </w:footnote>
  <w:footnote w:id="45">
    <w:p w:rsidR="007A0BB2" w:rsidRPr="000F028A" w:rsidRDefault="007A0BB2" w:rsidP="007A0BB2">
      <w:pPr>
        <w:pStyle w:val="FootnoteText"/>
        <w:rPr>
          <w:color w:val="000000" w:themeColor="text1"/>
          <w:lang w:val="lv-LV"/>
        </w:rPr>
      </w:pPr>
      <w:r>
        <w:rPr>
          <w:rStyle w:val="FootnoteReference"/>
        </w:rPr>
        <w:footnoteRef/>
      </w:r>
      <w:hyperlink r:id="rId8" w:history="1">
        <w:r w:rsidRPr="000F028A">
          <w:rPr>
            <w:rStyle w:val="Hyperlink"/>
            <w:color w:val="000000" w:themeColor="text1"/>
            <w:u w:val="none"/>
            <w:lang w:val="lv-LV"/>
          </w:rPr>
          <w:t>http://www.legaltext.ee/et/andmebaas/tekst.asp?loc=text&amp;dok=X60027K5&amp;pg=1&amp;tyyp=X&amp;query=kriminaalmenetluse&amp;ptyyp=RT&amp;keel=en</w:t>
        </w:r>
      </w:hyperlink>
    </w:p>
  </w:footnote>
  <w:footnote w:id="46">
    <w:p w:rsidR="007A0BB2" w:rsidRPr="0059131C" w:rsidRDefault="007A0BB2" w:rsidP="007A0BB2">
      <w:pPr>
        <w:jc w:val="both"/>
        <w:rPr>
          <w:b/>
          <w:sz w:val="20"/>
          <w:szCs w:val="20"/>
        </w:rPr>
      </w:pPr>
      <w:r>
        <w:rPr>
          <w:rStyle w:val="FootnoteReference"/>
        </w:rPr>
        <w:footnoteRef/>
      </w:r>
      <w:r>
        <w:t xml:space="preserve"> </w:t>
      </w:r>
      <w:r w:rsidRPr="0059131C">
        <w:rPr>
          <w:sz w:val="20"/>
          <w:szCs w:val="20"/>
        </w:rPr>
        <w:t>Rīgas pilsētas Centra rajona tiesas 09.09.2007. lēmums krimināllietā nr.</w:t>
      </w:r>
      <w:r>
        <w:rPr>
          <w:sz w:val="20"/>
          <w:szCs w:val="20"/>
        </w:rPr>
        <w:t xml:space="preserve"> </w:t>
      </w:r>
      <w:r w:rsidRPr="0059131C">
        <w:rPr>
          <w:sz w:val="20"/>
          <w:szCs w:val="20"/>
        </w:rPr>
        <w:t>KPL 27003807/3. Nav publicēts.</w:t>
      </w:r>
    </w:p>
  </w:footnote>
  <w:footnote w:id="47">
    <w:p w:rsidR="007A0BB2" w:rsidRPr="0059131C" w:rsidRDefault="007A0BB2" w:rsidP="007A0BB2">
      <w:pPr>
        <w:jc w:val="both"/>
        <w:rPr>
          <w:b/>
          <w:sz w:val="20"/>
          <w:szCs w:val="20"/>
        </w:rPr>
      </w:pPr>
      <w:r>
        <w:rPr>
          <w:rStyle w:val="FootnoteReference"/>
        </w:rPr>
        <w:footnoteRef/>
      </w:r>
      <w:r>
        <w:t xml:space="preserve"> </w:t>
      </w:r>
      <w:r w:rsidRPr="0059131C">
        <w:rPr>
          <w:sz w:val="20"/>
          <w:szCs w:val="20"/>
        </w:rPr>
        <w:t>Rīgas apgabaltiesas Krimināllietu tiesas kolēģijas 29.08.2007. lēmums krimināllietā nr.</w:t>
      </w:r>
      <w:r>
        <w:rPr>
          <w:sz w:val="20"/>
          <w:szCs w:val="20"/>
        </w:rPr>
        <w:t xml:space="preserve"> </w:t>
      </w:r>
      <w:r w:rsidRPr="0059131C">
        <w:rPr>
          <w:sz w:val="20"/>
          <w:szCs w:val="20"/>
        </w:rPr>
        <w:t>KPL-5/347.</w:t>
      </w:r>
      <w:r>
        <w:rPr>
          <w:sz w:val="20"/>
          <w:szCs w:val="20"/>
        </w:rPr>
        <w:t xml:space="preserve"> </w:t>
      </w:r>
      <w:r w:rsidRPr="0059131C">
        <w:rPr>
          <w:sz w:val="20"/>
          <w:szCs w:val="20"/>
        </w:rPr>
        <w:t>Nav publicēts.</w:t>
      </w:r>
    </w:p>
    <w:p w:rsidR="007A0BB2" w:rsidRPr="00D85B0F" w:rsidRDefault="007A0BB2" w:rsidP="007A0BB2">
      <w:pPr>
        <w:pStyle w:val="FootnoteText"/>
        <w:rPr>
          <w:lang w:val="lv-LV"/>
        </w:rPr>
      </w:pPr>
    </w:p>
  </w:footnote>
  <w:footnote w:id="48">
    <w:p w:rsidR="007A0BB2" w:rsidRPr="000F17B8" w:rsidRDefault="007A0BB2" w:rsidP="007A0BB2">
      <w:pPr>
        <w:pStyle w:val="FootnoteText"/>
        <w:rPr>
          <w:lang w:val="lv-LV"/>
        </w:rPr>
      </w:pPr>
      <w:r>
        <w:rPr>
          <w:rStyle w:val="FootnoteReference"/>
        </w:rPr>
        <w:footnoteRef/>
      </w:r>
      <w:r w:rsidRPr="009C3FEF">
        <w:rPr>
          <w:lang w:val="lv-LV"/>
        </w:rPr>
        <w:t xml:space="preserve"> </w:t>
      </w:r>
      <w:r>
        <w:rPr>
          <w:lang w:val="lv-LV"/>
        </w:rPr>
        <w:t>www.tas.gov.lv/index.php/lv/29/58/244/index.html</w:t>
      </w:r>
    </w:p>
  </w:footnote>
  <w:footnote w:id="49">
    <w:p w:rsidR="007A0BB2" w:rsidRPr="00960792" w:rsidRDefault="007A0BB2" w:rsidP="007A0BB2">
      <w:pPr>
        <w:jc w:val="both"/>
        <w:rPr>
          <w:sz w:val="20"/>
          <w:szCs w:val="20"/>
        </w:rPr>
      </w:pPr>
      <w:r>
        <w:rPr>
          <w:rStyle w:val="FootnoteReference"/>
        </w:rPr>
        <w:footnoteRef/>
      </w:r>
      <w:r>
        <w:t xml:space="preserve"> </w:t>
      </w:r>
      <w:r w:rsidRPr="003C7BD3">
        <w:rPr>
          <w:sz w:val="20"/>
          <w:szCs w:val="20"/>
        </w:rPr>
        <w:t>Комментарий к Уголовно-процессуальному кодексу Российской Федерации. отв.ред. И.Л.Петрухин., 3-е изд., Москва., изд-во Проспект, 2004., стр.</w:t>
      </w:r>
      <w:r w:rsidRPr="00960792">
        <w:rPr>
          <w:bCs/>
          <w:sz w:val="20"/>
          <w:szCs w:val="20"/>
        </w:rPr>
        <w:t>176-177</w:t>
      </w:r>
    </w:p>
  </w:footnote>
  <w:footnote w:id="50">
    <w:p w:rsidR="007A0BB2" w:rsidRPr="000F17B8" w:rsidRDefault="007A0BB2" w:rsidP="007A0BB2">
      <w:pPr>
        <w:pStyle w:val="FootnoteText"/>
        <w:rPr>
          <w:lang w:val="lv-LV"/>
        </w:rPr>
      </w:pPr>
      <w:r>
        <w:rPr>
          <w:rStyle w:val="FootnoteReference"/>
        </w:rPr>
        <w:footnoteRef/>
      </w:r>
      <w:r w:rsidRPr="00960792">
        <w:rPr>
          <w:lang w:val="lv-LV"/>
        </w:rPr>
        <w:t xml:space="preserve"> </w:t>
      </w:r>
      <w:r>
        <w:rPr>
          <w:lang w:val="lv-LV"/>
        </w:rPr>
        <w:t>www.tas.gov.lv/index.php/lv/29/58/244/index.html</w:t>
      </w:r>
    </w:p>
    <w:p w:rsidR="007A0BB2" w:rsidRPr="00613338" w:rsidRDefault="007A0BB2" w:rsidP="007A0BB2">
      <w:pPr>
        <w:pStyle w:val="FootnoteText"/>
        <w:rPr>
          <w:lang w:val="lv-LV"/>
        </w:rPr>
      </w:pPr>
    </w:p>
  </w:footnote>
  <w:footnote w:id="51">
    <w:p w:rsidR="007A0BB2" w:rsidRPr="000309C7" w:rsidRDefault="007A0BB2" w:rsidP="007A0BB2">
      <w:pPr>
        <w:pStyle w:val="FootnoteText"/>
        <w:rPr>
          <w:lang w:val="lv-LV"/>
        </w:rPr>
      </w:pPr>
      <w:r>
        <w:rPr>
          <w:rStyle w:val="FootnoteReference"/>
        </w:rPr>
        <w:footnoteRef/>
      </w:r>
      <w:r>
        <w:t xml:space="preserve"> </w:t>
      </w:r>
      <w:r>
        <w:rPr>
          <w:lang w:val="lv-LV"/>
        </w:rPr>
        <w:t>Krminālprocess nr.12-812001906. Nav publicēts.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CellMar>
        <w:left w:w="0" w:type="dxa"/>
        <w:right w:w="0" w:type="dxa"/>
      </w:tblCellMar>
      <w:tblLook w:val="04A0"/>
    </w:tblPr>
    <w:tblGrid>
      <w:gridCol w:w="109"/>
      <w:gridCol w:w="6"/>
    </w:tblGrid>
    <w:tr w:rsidR="00B31181" w:rsidRPr="001B2197" w:rsidTr="00474709">
      <w:tc>
        <w:tcPr>
          <w:tcW w:w="0" w:type="auto"/>
          <w:gridSpan w:val="2"/>
          <w:tcBorders>
            <w:top w:val="nil"/>
            <w:left w:val="nil"/>
            <w:bottom w:val="nil"/>
            <w:right w:val="nil"/>
          </w:tcBorders>
          <w:shd w:val="clear" w:color="auto" w:fill="FFFFFF"/>
          <w:hideMark/>
        </w:tcPr>
        <w:p w:rsidR="00B31181" w:rsidRPr="001B2197" w:rsidRDefault="00D20E51" w:rsidP="00474709">
          <w:pPr>
            <w:rPr>
              <w:b/>
              <w:bCs/>
              <w:color w:val="000000"/>
              <w:sz w:val="28"/>
              <w:szCs w:val="28"/>
            </w:rPr>
          </w:pPr>
        </w:p>
      </w:tc>
    </w:tr>
    <w:tr w:rsidR="00B31181" w:rsidRPr="001B2197" w:rsidTr="00474709">
      <w:tc>
        <w:tcPr>
          <w:tcW w:w="93" w:type="dxa"/>
          <w:tcBorders>
            <w:top w:val="nil"/>
            <w:left w:val="nil"/>
            <w:bottom w:val="nil"/>
            <w:right w:val="nil"/>
          </w:tcBorders>
          <w:shd w:val="clear" w:color="auto" w:fill="FFFFFF"/>
          <w:noWrap/>
          <w:hideMark/>
        </w:tcPr>
        <w:p w:rsidR="00B31181" w:rsidRPr="001B2197" w:rsidRDefault="00D20E51" w:rsidP="00474709">
          <w:pPr>
            <w:rPr>
              <w:color w:val="000000"/>
              <w:sz w:val="28"/>
              <w:szCs w:val="28"/>
            </w:rPr>
          </w:pPr>
        </w:p>
      </w:tc>
      <w:tc>
        <w:tcPr>
          <w:tcW w:w="0" w:type="auto"/>
          <w:tcBorders>
            <w:top w:val="nil"/>
            <w:left w:val="nil"/>
            <w:bottom w:val="nil"/>
            <w:right w:val="nil"/>
          </w:tcBorders>
          <w:shd w:val="clear" w:color="auto" w:fill="FFFFFF"/>
          <w:hideMark/>
        </w:tcPr>
        <w:p w:rsidR="00B31181" w:rsidRPr="001B2197" w:rsidRDefault="00D20E51" w:rsidP="00474709">
          <w:pPr>
            <w:rPr>
              <w:color w:val="000000"/>
              <w:sz w:val="28"/>
              <w:szCs w:val="28"/>
            </w:rPr>
          </w:pPr>
        </w:p>
      </w:tc>
    </w:tr>
    <w:tr w:rsidR="00B31181" w:rsidRPr="001B2197" w:rsidTr="00474709">
      <w:tc>
        <w:tcPr>
          <w:tcW w:w="93" w:type="dxa"/>
          <w:tcBorders>
            <w:top w:val="nil"/>
            <w:left w:val="nil"/>
            <w:bottom w:val="nil"/>
            <w:right w:val="nil"/>
          </w:tcBorders>
          <w:shd w:val="clear" w:color="auto" w:fill="FFFFFF"/>
          <w:noWrap/>
          <w:hideMark/>
        </w:tcPr>
        <w:p w:rsidR="00B31181" w:rsidRPr="001B2197" w:rsidRDefault="00D20E51" w:rsidP="00474709">
          <w:pPr>
            <w:rPr>
              <w:color w:val="000000"/>
              <w:sz w:val="28"/>
              <w:szCs w:val="28"/>
            </w:rPr>
          </w:pPr>
        </w:p>
      </w:tc>
      <w:tc>
        <w:tcPr>
          <w:tcW w:w="0" w:type="auto"/>
          <w:tcBorders>
            <w:top w:val="nil"/>
            <w:left w:val="nil"/>
            <w:bottom w:val="nil"/>
            <w:right w:val="nil"/>
          </w:tcBorders>
          <w:shd w:val="clear" w:color="auto" w:fill="FFFFFF"/>
          <w:hideMark/>
        </w:tcPr>
        <w:p w:rsidR="00B31181" w:rsidRPr="001B2197" w:rsidRDefault="00D20E51" w:rsidP="00474709">
          <w:pPr>
            <w:rPr>
              <w:color w:val="000000"/>
              <w:sz w:val="28"/>
              <w:szCs w:val="28"/>
            </w:rPr>
          </w:pPr>
        </w:p>
      </w:tc>
    </w:tr>
    <w:tr w:rsidR="00B31181" w:rsidRPr="001B2197" w:rsidTr="00474709">
      <w:tc>
        <w:tcPr>
          <w:tcW w:w="93" w:type="dxa"/>
          <w:tcBorders>
            <w:top w:val="nil"/>
            <w:left w:val="nil"/>
            <w:bottom w:val="nil"/>
            <w:right w:val="nil"/>
          </w:tcBorders>
          <w:shd w:val="clear" w:color="auto" w:fill="FFFFFF"/>
          <w:noWrap/>
          <w:hideMark/>
        </w:tcPr>
        <w:p w:rsidR="00B31181" w:rsidRPr="001B2197" w:rsidRDefault="00D20E51" w:rsidP="00474709">
          <w:pPr>
            <w:rPr>
              <w:color w:val="000000"/>
              <w:sz w:val="28"/>
              <w:szCs w:val="28"/>
            </w:rPr>
          </w:pPr>
        </w:p>
      </w:tc>
      <w:tc>
        <w:tcPr>
          <w:tcW w:w="0" w:type="auto"/>
          <w:tcBorders>
            <w:top w:val="nil"/>
            <w:left w:val="nil"/>
            <w:bottom w:val="nil"/>
            <w:right w:val="nil"/>
          </w:tcBorders>
          <w:shd w:val="clear" w:color="auto" w:fill="FFFFFF"/>
          <w:hideMark/>
        </w:tcPr>
        <w:p w:rsidR="00B31181" w:rsidRPr="001B2197" w:rsidRDefault="00D20E51" w:rsidP="00474709">
          <w:pPr>
            <w:rPr>
              <w:color w:val="000000"/>
              <w:sz w:val="28"/>
              <w:szCs w:val="28"/>
            </w:rPr>
          </w:pPr>
        </w:p>
      </w:tc>
    </w:tr>
    <w:tr w:rsidR="00B31181" w:rsidRPr="001B2197" w:rsidTr="00474709">
      <w:tc>
        <w:tcPr>
          <w:tcW w:w="93" w:type="dxa"/>
          <w:tcBorders>
            <w:top w:val="nil"/>
            <w:left w:val="nil"/>
            <w:bottom w:val="nil"/>
            <w:right w:val="nil"/>
          </w:tcBorders>
          <w:shd w:val="clear" w:color="auto" w:fill="FFFFFF"/>
          <w:noWrap/>
          <w:hideMark/>
        </w:tcPr>
        <w:p w:rsidR="00B31181" w:rsidRPr="001B2197" w:rsidRDefault="00D20E51" w:rsidP="00474709">
          <w:pPr>
            <w:rPr>
              <w:color w:val="000000"/>
              <w:sz w:val="28"/>
              <w:szCs w:val="28"/>
            </w:rPr>
          </w:pPr>
        </w:p>
      </w:tc>
      <w:tc>
        <w:tcPr>
          <w:tcW w:w="0" w:type="auto"/>
          <w:tcBorders>
            <w:top w:val="nil"/>
            <w:left w:val="nil"/>
            <w:bottom w:val="nil"/>
            <w:right w:val="nil"/>
          </w:tcBorders>
          <w:shd w:val="clear" w:color="auto" w:fill="FFFFFF"/>
          <w:hideMark/>
        </w:tcPr>
        <w:p w:rsidR="00B31181" w:rsidRPr="001B2197" w:rsidRDefault="00D20E51" w:rsidP="00474709">
          <w:pPr>
            <w:rPr>
              <w:color w:val="000000"/>
              <w:sz w:val="28"/>
              <w:szCs w:val="28"/>
            </w:rPr>
          </w:pPr>
        </w:p>
      </w:tc>
    </w:tr>
    <w:tr w:rsidR="00B31181" w:rsidRPr="001B2197" w:rsidTr="00474709">
      <w:tc>
        <w:tcPr>
          <w:tcW w:w="93" w:type="dxa"/>
          <w:tcBorders>
            <w:top w:val="nil"/>
            <w:left w:val="nil"/>
            <w:bottom w:val="nil"/>
            <w:right w:val="nil"/>
          </w:tcBorders>
          <w:shd w:val="clear" w:color="auto" w:fill="FFFFFF"/>
          <w:noWrap/>
          <w:hideMark/>
        </w:tcPr>
        <w:p w:rsidR="00B31181" w:rsidRPr="001B2197" w:rsidRDefault="00D20E51" w:rsidP="00474709">
          <w:pPr>
            <w:rPr>
              <w:color w:val="000000"/>
              <w:sz w:val="28"/>
              <w:szCs w:val="28"/>
            </w:rPr>
          </w:pPr>
        </w:p>
      </w:tc>
      <w:tc>
        <w:tcPr>
          <w:tcW w:w="0" w:type="auto"/>
          <w:tcBorders>
            <w:top w:val="nil"/>
            <w:left w:val="nil"/>
            <w:bottom w:val="nil"/>
            <w:right w:val="nil"/>
          </w:tcBorders>
          <w:shd w:val="clear" w:color="auto" w:fill="FFFFFF"/>
          <w:hideMark/>
        </w:tcPr>
        <w:p w:rsidR="00B31181" w:rsidRPr="001B2197" w:rsidRDefault="00D20E51" w:rsidP="00474709">
          <w:pPr>
            <w:rPr>
              <w:color w:val="000000"/>
              <w:sz w:val="28"/>
              <w:szCs w:val="28"/>
            </w:rPr>
          </w:pPr>
        </w:p>
      </w:tc>
    </w:tr>
  </w:tbl>
  <w:p w:rsidR="00B31181" w:rsidRDefault="00D20E5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8183D"/>
    <w:multiLevelType w:val="multilevel"/>
    <w:tmpl w:val="33FCD720"/>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
    <w:nsid w:val="139903AB"/>
    <w:multiLevelType w:val="multilevel"/>
    <w:tmpl w:val="E0CC9B1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62B2CFE"/>
    <w:multiLevelType w:val="hybridMultilevel"/>
    <w:tmpl w:val="FB8CDCCC"/>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3">
    <w:nsid w:val="16975A7C"/>
    <w:multiLevelType w:val="hybridMultilevel"/>
    <w:tmpl w:val="32C05D58"/>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4">
    <w:nsid w:val="1D102737"/>
    <w:multiLevelType w:val="hybridMultilevel"/>
    <w:tmpl w:val="B7164D44"/>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5">
    <w:nsid w:val="26F123FE"/>
    <w:multiLevelType w:val="hybridMultilevel"/>
    <w:tmpl w:val="7E6A3432"/>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6">
    <w:nsid w:val="27260F62"/>
    <w:multiLevelType w:val="hybridMultilevel"/>
    <w:tmpl w:val="670A8738"/>
    <w:lvl w:ilvl="0" w:tplc="0426000F">
      <w:start w:val="1"/>
      <w:numFmt w:val="decimal"/>
      <w:lvlText w:val="%1."/>
      <w:lvlJc w:val="left"/>
      <w:pPr>
        <w:ind w:left="720" w:hanging="360"/>
      </w:pPr>
      <w:rPr>
        <w:rFonts w:hint="default"/>
        <w:b w:val="0"/>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7">
    <w:nsid w:val="28032D47"/>
    <w:multiLevelType w:val="hybridMultilevel"/>
    <w:tmpl w:val="638EB9F4"/>
    <w:lvl w:ilvl="0" w:tplc="04260011">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8">
    <w:nsid w:val="2A570192"/>
    <w:multiLevelType w:val="hybridMultilevel"/>
    <w:tmpl w:val="263E776C"/>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9">
    <w:nsid w:val="2EB80FB8"/>
    <w:multiLevelType w:val="hybridMultilevel"/>
    <w:tmpl w:val="0D1E7804"/>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10">
    <w:nsid w:val="3491613C"/>
    <w:multiLevelType w:val="hybridMultilevel"/>
    <w:tmpl w:val="DB54B64E"/>
    <w:lvl w:ilvl="0" w:tplc="1E46B4DC">
      <w:start w:val="1"/>
      <w:numFmt w:val="decimal"/>
      <w:lvlText w:val="(%1)"/>
      <w:lvlJc w:val="left"/>
      <w:pPr>
        <w:ind w:left="780" w:hanging="360"/>
      </w:pPr>
      <w:rPr>
        <w:rFonts w:hint="default"/>
      </w:rPr>
    </w:lvl>
    <w:lvl w:ilvl="1" w:tplc="04260019" w:tentative="1">
      <w:start w:val="1"/>
      <w:numFmt w:val="lowerLetter"/>
      <w:lvlText w:val="%2."/>
      <w:lvlJc w:val="left"/>
      <w:pPr>
        <w:ind w:left="1500" w:hanging="360"/>
      </w:pPr>
    </w:lvl>
    <w:lvl w:ilvl="2" w:tplc="0426001B" w:tentative="1">
      <w:start w:val="1"/>
      <w:numFmt w:val="lowerRoman"/>
      <w:lvlText w:val="%3."/>
      <w:lvlJc w:val="right"/>
      <w:pPr>
        <w:ind w:left="2220" w:hanging="180"/>
      </w:pPr>
    </w:lvl>
    <w:lvl w:ilvl="3" w:tplc="0426000F" w:tentative="1">
      <w:start w:val="1"/>
      <w:numFmt w:val="decimal"/>
      <w:lvlText w:val="%4."/>
      <w:lvlJc w:val="left"/>
      <w:pPr>
        <w:ind w:left="2940" w:hanging="360"/>
      </w:pPr>
    </w:lvl>
    <w:lvl w:ilvl="4" w:tplc="04260019" w:tentative="1">
      <w:start w:val="1"/>
      <w:numFmt w:val="lowerLetter"/>
      <w:lvlText w:val="%5."/>
      <w:lvlJc w:val="left"/>
      <w:pPr>
        <w:ind w:left="3660" w:hanging="360"/>
      </w:pPr>
    </w:lvl>
    <w:lvl w:ilvl="5" w:tplc="0426001B" w:tentative="1">
      <w:start w:val="1"/>
      <w:numFmt w:val="lowerRoman"/>
      <w:lvlText w:val="%6."/>
      <w:lvlJc w:val="right"/>
      <w:pPr>
        <w:ind w:left="4380" w:hanging="180"/>
      </w:pPr>
    </w:lvl>
    <w:lvl w:ilvl="6" w:tplc="0426000F" w:tentative="1">
      <w:start w:val="1"/>
      <w:numFmt w:val="decimal"/>
      <w:lvlText w:val="%7."/>
      <w:lvlJc w:val="left"/>
      <w:pPr>
        <w:ind w:left="5100" w:hanging="360"/>
      </w:pPr>
    </w:lvl>
    <w:lvl w:ilvl="7" w:tplc="04260019" w:tentative="1">
      <w:start w:val="1"/>
      <w:numFmt w:val="lowerLetter"/>
      <w:lvlText w:val="%8."/>
      <w:lvlJc w:val="left"/>
      <w:pPr>
        <w:ind w:left="5820" w:hanging="360"/>
      </w:pPr>
    </w:lvl>
    <w:lvl w:ilvl="8" w:tplc="0426001B" w:tentative="1">
      <w:start w:val="1"/>
      <w:numFmt w:val="lowerRoman"/>
      <w:lvlText w:val="%9."/>
      <w:lvlJc w:val="right"/>
      <w:pPr>
        <w:ind w:left="6540" w:hanging="180"/>
      </w:pPr>
    </w:lvl>
  </w:abstractNum>
  <w:abstractNum w:abstractNumId="11">
    <w:nsid w:val="37CA0945"/>
    <w:multiLevelType w:val="hybridMultilevel"/>
    <w:tmpl w:val="D0BEBF9A"/>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12">
    <w:nsid w:val="3A9D6A28"/>
    <w:multiLevelType w:val="hybridMultilevel"/>
    <w:tmpl w:val="68D648D0"/>
    <w:lvl w:ilvl="0" w:tplc="481A6790">
      <w:start w:val="1"/>
      <w:numFmt w:val="decimal"/>
      <w:lvlText w:val="(%1)"/>
      <w:lvlJc w:val="left"/>
      <w:pPr>
        <w:ind w:left="825" w:hanging="465"/>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13">
    <w:nsid w:val="3E0215D0"/>
    <w:multiLevelType w:val="hybridMultilevel"/>
    <w:tmpl w:val="C1882C74"/>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14">
    <w:nsid w:val="3EA861B8"/>
    <w:multiLevelType w:val="multilevel"/>
    <w:tmpl w:val="0C100B9C"/>
    <w:lvl w:ilvl="0">
      <w:start w:val="1"/>
      <w:numFmt w:val="decimal"/>
      <w:lvlText w:val="%1."/>
      <w:lvlJc w:val="left"/>
      <w:pPr>
        <w:ind w:left="720" w:hanging="360"/>
      </w:pPr>
      <w:rPr>
        <w:rFonts w:hint="default"/>
      </w:rPr>
    </w:lvl>
    <w:lvl w:ilvl="1">
      <w:start w:val="1"/>
      <w:numFmt w:val="decimal"/>
      <w:isLgl/>
      <w:lvlText w:val="%1.%2."/>
      <w:lvlJc w:val="left"/>
      <w:pPr>
        <w:ind w:left="1350" w:hanging="990"/>
      </w:pPr>
      <w:rPr>
        <w:rFonts w:hint="default"/>
      </w:rPr>
    </w:lvl>
    <w:lvl w:ilvl="2">
      <w:start w:val="1"/>
      <w:numFmt w:val="decimal"/>
      <w:isLgl/>
      <w:lvlText w:val="%1.%2.%3."/>
      <w:lvlJc w:val="left"/>
      <w:pPr>
        <w:ind w:left="1350" w:hanging="99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3F19545C"/>
    <w:multiLevelType w:val="hybridMultilevel"/>
    <w:tmpl w:val="2CE0067A"/>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16">
    <w:nsid w:val="45AF1829"/>
    <w:multiLevelType w:val="multilevel"/>
    <w:tmpl w:val="2392E71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469053CE"/>
    <w:multiLevelType w:val="multilevel"/>
    <w:tmpl w:val="7A92D3A6"/>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7E674D3"/>
    <w:multiLevelType w:val="hybridMultilevel"/>
    <w:tmpl w:val="D95667BE"/>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19">
    <w:nsid w:val="5A6E6C66"/>
    <w:multiLevelType w:val="hybridMultilevel"/>
    <w:tmpl w:val="72F458DC"/>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20">
    <w:nsid w:val="6346452F"/>
    <w:multiLevelType w:val="hybridMultilevel"/>
    <w:tmpl w:val="0BE24C92"/>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21">
    <w:nsid w:val="65176973"/>
    <w:multiLevelType w:val="hybridMultilevel"/>
    <w:tmpl w:val="17103300"/>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22">
    <w:nsid w:val="69774B13"/>
    <w:multiLevelType w:val="multilevel"/>
    <w:tmpl w:val="143EFCAE"/>
    <w:lvl w:ilvl="0">
      <w:start w:val="1"/>
      <w:numFmt w:val="decimal"/>
      <w:lvlText w:val="%1."/>
      <w:lvlJc w:val="left"/>
      <w:pPr>
        <w:ind w:left="720" w:hanging="360"/>
      </w:pPr>
      <w:rPr>
        <w:rFonts w:hint="default"/>
        <w:b/>
      </w:rPr>
    </w:lvl>
    <w:lvl w:ilvl="1">
      <w:start w:val="1"/>
      <w:numFmt w:val="decimal"/>
      <w:isLgl/>
      <w:lvlText w:val="%1.%2."/>
      <w:lvlJc w:val="left"/>
      <w:pPr>
        <w:ind w:left="1350" w:hanging="990"/>
      </w:pPr>
      <w:rPr>
        <w:rFonts w:hint="default"/>
      </w:rPr>
    </w:lvl>
    <w:lvl w:ilvl="2">
      <w:start w:val="1"/>
      <w:numFmt w:val="decimal"/>
      <w:isLgl/>
      <w:lvlText w:val="%1.%2.%3."/>
      <w:lvlJc w:val="left"/>
      <w:pPr>
        <w:ind w:left="1350" w:hanging="99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6FCB7EA4"/>
    <w:multiLevelType w:val="hybridMultilevel"/>
    <w:tmpl w:val="C2409966"/>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24">
    <w:nsid w:val="747B7078"/>
    <w:multiLevelType w:val="hybridMultilevel"/>
    <w:tmpl w:val="38CA1DA0"/>
    <w:lvl w:ilvl="0" w:tplc="2E04C86A">
      <w:start w:val="1"/>
      <w:numFmt w:val="decimal"/>
      <w:lvlText w:val="(%1)"/>
      <w:lvlJc w:val="left"/>
      <w:pPr>
        <w:ind w:left="495" w:hanging="360"/>
      </w:pPr>
      <w:rPr>
        <w:rFonts w:hint="default"/>
      </w:rPr>
    </w:lvl>
    <w:lvl w:ilvl="1" w:tplc="04260019" w:tentative="1">
      <w:start w:val="1"/>
      <w:numFmt w:val="lowerLetter"/>
      <w:lvlText w:val="%2."/>
      <w:lvlJc w:val="left"/>
      <w:pPr>
        <w:ind w:left="1215" w:hanging="360"/>
      </w:pPr>
    </w:lvl>
    <w:lvl w:ilvl="2" w:tplc="0426001B" w:tentative="1">
      <w:start w:val="1"/>
      <w:numFmt w:val="lowerRoman"/>
      <w:lvlText w:val="%3."/>
      <w:lvlJc w:val="right"/>
      <w:pPr>
        <w:ind w:left="1935" w:hanging="180"/>
      </w:pPr>
    </w:lvl>
    <w:lvl w:ilvl="3" w:tplc="0426000F" w:tentative="1">
      <w:start w:val="1"/>
      <w:numFmt w:val="decimal"/>
      <w:lvlText w:val="%4."/>
      <w:lvlJc w:val="left"/>
      <w:pPr>
        <w:ind w:left="2655" w:hanging="360"/>
      </w:pPr>
    </w:lvl>
    <w:lvl w:ilvl="4" w:tplc="04260019" w:tentative="1">
      <w:start w:val="1"/>
      <w:numFmt w:val="lowerLetter"/>
      <w:lvlText w:val="%5."/>
      <w:lvlJc w:val="left"/>
      <w:pPr>
        <w:ind w:left="3375" w:hanging="360"/>
      </w:pPr>
    </w:lvl>
    <w:lvl w:ilvl="5" w:tplc="0426001B" w:tentative="1">
      <w:start w:val="1"/>
      <w:numFmt w:val="lowerRoman"/>
      <w:lvlText w:val="%6."/>
      <w:lvlJc w:val="right"/>
      <w:pPr>
        <w:ind w:left="4095" w:hanging="180"/>
      </w:pPr>
    </w:lvl>
    <w:lvl w:ilvl="6" w:tplc="0426000F" w:tentative="1">
      <w:start w:val="1"/>
      <w:numFmt w:val="decimal"/>
      <w:lvlText w:val="%7."/>
      <w:lvlJc w:val="left"/>
      <w:pPr>
        <w:ind w:left="4815" w:hanging="360"/>
      </w:pPr>
    </w:lvl>
    <w:lvl w:ilvl="7" w:tplc="04260019" w:tentative="1">
      <w:start w:val="1"/>
      <w:numFmt w:val="lowerLetter"/>
      <w:lvlText w:val="%8."/>
      <w:lvlJc w:val="left"/>
      <w:pPr>
        <w:ind w:left="5535" w:hanging="360"/>
      </w:pPr>
    </w:lvl>
    <w:lvl w:ilvl="8" w:tplc="0426001B" w:tentative="1">
      <w:start w:val="1"/>
      <w:numFmt w:val="lowerRoman"/>
      <w:lvlText w:val="%9."/>
      <w:lvlJc w:val="right"/>
      <w:pPr>
        <w:ind w:left="6255" w:hanging="180"/>
      </w:pPr>
    </w:lvl>
  </w:abstractNum>
  <w:abstractNum w:abstractNumId="25">
    <w:nsid w:val="783F509E"/>
    <w:multiLevelType w:val="hybridMultilevel"/>
    <w:tmpl w:val="B5AE8A50"/>
    <w:lvl w:ilvl="0" w:tplc="0426000F">
      <w:start w:val="1"/>
      <w:numFmt w:val="decimal"/>
      <w:lvlText w:val="%1."/>
      <w:lvlJc w:val="left"/>
      <w:pPr>
        <w:ind w:left="720" w:hanging="360"/>
      </w:pPr>
      <w:rPr>
        <w:rFonts w:hint="default"/>
      </w:r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26">
    <w:nsid w:val="7EF25240"/>
    <w:multiLevelType w:val="hybridMultilevel"/>
    <w:tmpl w:val="9244DE44"/>
    <w:lvl w:ilvl="0" w:tplc="D7BE0BE4">
      <w:start w:val="7"/>
      <w:numFmt w:val="bullet"/>
      <w:lvlText w:val="-"/>
      <w:lvlJc w:val="left"/>
      <w:pPr>
        <w:ind w:left="720" w:hanging="360"/>
      </w:pPr>
      <w:rPr>
        <w:rFonts w:ascii="Times New Roman" w:eastAsia="Times New Roman" w:hAnsi="Times New Roman" w:cs="Times New Roman" w:hint="default"/>
      </w:rPr>
    </w:lvl>
    <w:lvl w:ilvl="1" w:tplc="04260003" w:tentative="1">
      <w:start w:val="1"/>
      <w:numFmt w:val="bullet"/>
      <w:lvlText w:val="o"/>
      <w:lvlJc w:val="left"/>
      <w:pPr>
        <w:ind w:left="1440" w:hanging="360"/>
      </w:pPr>
      <w:rPr>
        <w:rFonts w:ascii="Courier New" w:hAnsi="Courier New" w:cs="Courier New" w:hint="default"/>
      </w:rPr>
    </w:lvl>
    <w:lvl w:ilvl="2" w:tplc="04260005" w:tentative="1">
      <w:start w:val="1"/>
      <w:numFmt w:val="bullet"/>
      <w:lvlText w:val=""/>
      <w:lvlJc w:val="left"/>
      <w:pPr>
        <w:ind w:left="2160" w:hanging="360"/>
      </w:pPr>
      <w:rPr>
        <w:rFonts w:ascii="Wingdings" w:hAnsi="Wingdings" w:hint="default"/>
      </w:rPr>
    </w:lvl>
    <w:lvl w:ilvl="3" w:tplc="04260001" w:tentative="1">
      <w:start w:val="1"/>
      <w:numFmt w:val="bullet"/>
      <w:lvlText w:val=""/>
      <w:lvlJc w:val="left"/>
      <w:pPr>
        <w:ind w:left="2880" w:hanging="360"/>
      </w:pPr>
      <w:rPr>
        <w:rFonts w:ascii="Symbol" w:hAnsi="Symbol" w:hint="default"/>
      </w:rPr>
    </w:lvl>
    <w:lvl w:ilvl="4" w:tplc="04260003" w:tentative="1">
      <w:start w:val="1"/>
      <w:numFmt w:val="bullet"/>
      <w:lvlText w:val="o"/>
      <w:lvlJc w:val="left"/>
      <w:pPr>
        <w:ind w:left="3600" w:hanging="360"/>
      </w:pPr>
      <w:rPr>
        <w:rFonts w:ascii="Courier New" w:hAnsi="Courier New" w:cs="Courier New" w:hint="default"/>
      </w:rPr>
    </w:lvl>
    <w:lvl w:ilvl="5" w:tplc="04260005" w:tentative="1">
      <w:start w:val="1"/>
      <w:numFmt w:val="bullet"/>
      <w:lvlText w:val=""/>
      <w:lvlJc w:val="left"/>
      <w:pPr>
        <w:ind w:left="4320" w:hanging="360"/>
      </w:pPr>
      <w:rPr>
        <w:rFonts w:ascii="Wingdings" w:hAnsi="Wingdings" w:hint="default"/>
      </w:rPr>
    </w:lvl>
    <w:lvl w:ilvl="6" w:tplc="04260001" w:tentative="1">
      <w:start w:val="1"/>
      <w:numFmt w:val="bullet"/>
      <w:lvlText w:val=""/>
      <w:lvlJc w:val="left"/>
      <w:pPr>
        <w:ind w:left="5040" w:hanging="360"/>
      </w:pPr>
      <w:rPr>
        <w:rFonts w:ascii="Symbol" w:hAnsi="Symbol" w:hint="default"/>
      </w:rPr>
    </w:lvl>
    <w:lvl w:ilvl="7" w:tplc="04260003" w:tentative="1">
      <w:start w:val="1"/>
      <w:numFmt w:val="bullet"/>
      <w:lvlText w:val="o"/>
      <w:lvlJc w:val="left"/>
      <w:pPr>
        <w:ind w:left="5760" w:hanging="360"/>
      </w:pPr>
      <w:rPr>
        <w:rFonts w:ascii="Courier New" w:hAnsi="Courier New" w:cs="Courier New" w:hint="default"/>
      </w:rPr>
    </w:lvl>
    <w:lvl w:ilvl="8" w:tplc="0426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12"/>
  </w:num>
  <w:num w:numId="4">
    <w:abstractNumId w:val="10"/>
  </w:num>
  <w:num w:numId="5">
    <w:abstractNumId w:val="24"/>
  </w:num>
  <w:num w:numId="6">
    <w:abstractNumId w:val="16"/>
  </w:num>
  <w:num w:numId="7">
    <w:abstractNumId w:val="1"/>
  </w:num>
  <w:num w:numId="8">
    <w:abstractNumId w:val="18"/>
  </w:num>
  <w:num w:numId="9">
    <w:abstractNumId w:val="3"/>
  </w:num>
  <w:num w:numId="10">
    <w:abstractNumId w:val="2"/>
  </w:num>
  <w:num w:numId="11">
    <w:abstractNumId w:val="0"/>
  </w:num>
  <w:num w:numId="12">
    <w:abstractNumId w:val="26"/>
  </w:num>
  <w:num w:numId="13">
    <w:abstractNumId w:val="22"/>
  </w:num>
  <w:num w:numId="14">
    <w:abstractNumId w:val="14"/>
  </w:num>
  <w:num w:numId="15">
    <w:abstractNumId w:val="17"/>
  </w:num>
  <w:num w:numId="16">
    <w:abstractNumId w:val="25"/>
  </w:num>
  <w:num w:numId="17">
    <w:abstractNumId w:val="19"/>
  </w:num>
  <w:num w:numId="18">
    <w:abstractNumId w:val="11"/>
  </w:num>
  <w:num w:numId="19">
    <w:abstractNumId w:val="5"/>
  </w:num>
  <w:num w:numId="20">
    <w:abstractNumId w:val="15"/>
  </w:num>
  <w:num w:numId="21">
    <w:abstractNumId w:val="8"/>
  </w:num>
  <w:num w:numId="22">
    <w:abstractNumId w:val="23"/>
  </w:num>
  <w:num w:numId="23">
    <w:abstractNumId w:val="4"/>
  </w:num>
  <w:num w:numId="24">
    <w:abstractNumId w:val="21"/>
  </w:num>
  <w:num w:numId="25">
    <w:abstractNumId w:val="13"/>
  </w:num>
  <w:num w:numId="26">
    <w:abstractNumId w:val="20"/>
  </w:num>
  <w:num w:numId="2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characterSpacingControl w:val="doNotCompress"/>
  <w:footnotePr>
    <w:footnote w:id="0"/>
    <w:footnote w:id="1"/>
  </w:footnotePr>
  <w:endnotePr>
    <w:endnote w:id="0"/>
    <w:endnote w:id="1"/>
  </w:endnotePr>
  <w:compat/>
  <w:rsids>
    <w:rsidRoot w:val="007A0BB2"/>
    <w:rsid w:val="007A0BB2"/>
    <w:rsid w:val="00BA03F6"/>
    <w:rsid w:val="00D20E51"/>
  </w:rsids>
  <m:mathPr>
    <m:mathFont m:val="Cambria Math"/>
    <m:brkBin m:val="before"/>
    <m:brkBinSub m:val="--"/>
    <m:smallFrac m:val="off"/>
    <m:dispDef/>
    <m:lMargin m:val="0"/>
    <m:rMargin m:val="0"/>
    <m:defJc m:val="centerGroup"/>
    <m:wrapIndent m:val="1440"/>
    <m:intLim m:val="subSup"/>
    <m:naryLim m:val="undOvr"/>
  </m:mathPr>
  <w:themeFontLang w:val="lv-LV"/>
  <w:clrSchemeMapping w:bg1="light1" w:t1="dark1" w:bg2="light2" w:t2="dark2" w:accent1="accent1" w:accent2="accent2" w:accent3="accent3" w:accent4="accent4" w:accent5="accent5" w:accent6="accent6" w:hyperlink="hyperlink" w:followedHyperlink="followedHyperlink"/>
  <w:smartTagType w:namespaceuri="schemas-tilde-lv/tildestengine" w:name="veidnes"/>
  <w:smartTagType w:namespaceuri="urn:schemas-microsoft-com:office:smarttags" w:name="metricconverter"/>
  <w:smartTagType w:namespaceuri="schemas-tilde-lv/tildestengine" w:name="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v-L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0BB2"/>
    <w:pPr>
      <w:spacing w:after="0" w:line="240" w:lineRule="auto"/>
    </w:pPr>
    <w:rPr>
      <w:rFonts w:ascii="Times New Roman" w:eastAsia="Times New Roman" w:hAnsi="Times New Roman" w:cs="Times New Roman"/>
      <w:sz w:val="24"/>
      <w:szCs w:val="24"/>
      <w:lang w:eastAsia="lv-LV"/>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0BB2"/>
    <w:pPr>
      <w:ind w:left="720"/>
      <w:contextualSpacing/>
    </w:pPr>
  </w:style>
  <w:style w:type="paragraph" w:styleId="FootnoteText">
    <w:name w:val="footnote text"/>
    <w:basedOn w:val="Normal"/>
    <w:link w:val="FootnoteTextChar"/>
    <w:semiHidden/>
    <w:rsid w:val="007A0BB2"/>
    <w:rPr>
      <w:sz w:val="20"/>
      <w:szCs w:val="20"/>
      <w:lang w:val="en-US" w:eastAsia="en-US"/>
    </w:rPr>
  </w:style>
  <w:style w:type="character" w:customStyle="1" w:styleId="FootnoteTextChar">
    <w:name w:val="Footnote Text Char"/>
    <w:basedOn w:val="DefaultParagraphFont"/>
    <w:link w:val="FootnoteText"/>
    <w:semiHidden/>
    <w:rsid w:val="007A0BB2"/>
    <w:rPr>
      <w:rFonts w:ascii="Times New Roman" w:eastAsia="Times New Roman" w:hAnsi="Times New Roman" w:cs="Times New Roman"/>
      <w:sz w:val="20"/>
      <w:szCs w:val="20"/>
      <w:lang w:val="en-US"/>
    </w:rPr>
  </w:style>
  <w:style w:type="character" w:styleId="FootnoteReference">
    <w:name w:val="footnote reference"/>
    <w:basedOn w:val="DefaultParagraphFont"/>
    <w:semiHidden/>
    <w:rsid w:val="007A0BB2"/>
    <w:rPr>
      <w:vertAlign w:val="superscript"/>
    </w:rPr>
  </w:style>
  <w:style w:type="paragraph" w:customStyle="1" w:styleId="naisf">
    <w:name w:val="naisf"/>
    <w:basedOn w:val="Normal"/>
    <w:rsid w:val="007A0BB2"/>
    <w:pPr>
      <w:spacing w:before="100" w:beforeAutospacing="1" w:after="100" w:afterAutospacing="1"/>
    </w:pPr>
    <w:rPr>
      <w:lang w:val="en-GB" w:eastAsia="en-US"/>
    </w:rPr>
  </w:style>
  <w:style w:type="paragraph" w:customStyle="1" w:styleId="naispant">
    <w:name w:val="naispant"/>
    <w:basedOn w:val="Normal"/>
    <w:rsid w:val="007A0BB2"/>
    <w:pPr>
      <w:spacing w:before="400" w:after="200"/>
      <w:ind w:left="500" w:firstLine="500"/>
      <w:jc w:val="both"/>
    </w:pPr>
    <w:rPr>
      <w:b/>
      <w:bCs/>
      <w:lang w:val="en-GB" w:eastAsia="en-US"/>
    </w:rPr>
  </w:style>
  <w:style w:type="paragraph" w:styleId="Footer">
    <w:name w:val="footer"/>
    <w:basedOn w:val="Normal"/>
    <w:link w:val="FooterChar"/>
    <w:uiPriority w:val="99"/>
    <w:unhideWhenUsed/>
    <w:rsid w:val="007A0BB2"/>
    <w:pPr>
      <w:tabs>
        <w:tab w:val="center" w:pos="4153"/>
        <w:tab w:val="right" w:pos="8306"/>
      </w:tabs>
    </w:pPr>
  </w:style>
  <w:style w:type="character" w:customStyle="1" w:styleId="FooterChar">
    <w:name w:val="Footer Char"/>
    <w:basedOn w:val="DefaultParagraphFont"/>
    <w:link w:val="Footer"/>
    <w:uiPriority w:val="99"/>
    <w:rsid w:val="007A0BB2"/>
    <w:rPr>
      <w:rFonts w:ascii="Times New Roman" w:eastAsia="Times New Roman" w:hAnsi="Times New Roman" w:cs="Times New Roman"/>
      <w:sz w:val="24"/>
      <w:szCs w:val="24"/>
      <w:lang w:eastAsia="lv-LV"/>
    </w:rPr>
  </w:style>
  <w:style w:type="paragraph" w:styleId="BodyText">
    <w:name w:val="Body Text"/>
    <w:basedOn w:val="Normal"/>
    <w:link w:val="BodyTextChar"/>
    <w:rsid w:val="007A0BB2"/>
    <w:pPr>
      <w:spacing w:before="100" w:beforeAutospacing="1" w:after="100" w:afterAutospacing="1"/>
    </w:pPr>
    <w:rPr>
      <w:lang w:val="lt-LT" w:eastAsia="lt-LT"/>
    </w:rPr>
  </w:style>
  <w:style w:type="character" w:customStyle="1" w:styleId="BodyTextChar">
    <w:name w:val="Body Text Char"/>
    <w:basedOn w:val="DefaultParagraphFont"/>
    <w:link w:val="BodyText"/>
    <w:rsid w:val="007A0BB2"/>
    <w:rPr>
      <w:rFonts w:ascii="Times New Roman" w:eastAsia="Times New Roman" w:hAnsi="Times New Roman" w:cs="Times New Roman"/>
      <w:sz w:val="24"/>
      <w:szCs w:val="24"/>
      <w:lang w:val="lt-LT" w:eastAsia="lt-LT"/>
    </w:rPr>
  </w:style>
  <w:style w:type="table" w:styleId="TableGrid">
    <w:name w:val="Table Grid"/>
    <w:basedOn w:val="TableNormal"/>
    <w:rsid w:val="007A0BB2"/>
    <w:pPr>
      <w:spacing w:after="0" w:line="240" w:lineRule="auto"/>
    </w:pPr>
    <w:rPr>
      <w:rFonts w:ascii="Times New Roman" w:eastAsia="Times New Roman" w:hAnsi="Times New Roman" w:cs="Times New Roman"/>
      <w:sz w:val="20"/>
      <w:szCs w:val="20"/>
      <w:lang w:eastAsia="lv-L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A0BB2"/>
    <w:rPr>
      <w:color w:val="0000FF"/>
      <w:u w:val="single"/>
    </w:rPr>
  </w:style>
  <w:style w:type="paragraph" w:styleId="BodyText2">
    <w:name w:val="Body Text 2"/>
    <w:basedOn w:val="Normal"/>
    <w:link w:val="BodyText2Char"/>
    <w:uiPriority w:val="99"/>
    <w:unhideWhenUsed/>
    <w:rsid w:val="007A0BB2"/>
    <w:pPr>
      <w:spacing w:after="120" w:line="480" w:lineRule="auto"/>
    </w:pPr>
  </w:style>
  <w:style w:type="character" w:customStyle="1" w:styleId="BodyText2Char">
    <w:name w:val="Body Text 2 Char"/>
    <w:basedOn w:val="DefaultParagraphFont"/>
    <w:link w:val="BodyText2"/>
    <w:uiPriority w:val="99"/>
    <w:rsid w:val="007A0BB2"/>
    <w:rPr>
      <w:rFonts w:ascii="Times New Roman" w:eastAsia="Times New Roman" w:hAnsi="Times New Roman" w:cs="Times New Roman"/>
      <w:sz w:val="24"/>
      <w:szCs w:val="24"/>
      <w:lang w:eastAsia="lv-LV"/>
    </w:rPr>
  </w:style>
  <w:style w:type="paragraph" w:styleId="Header">
    <w:name w:val="header"/>
    <w:basedOn w:val="Normal"/>
    <w:link w:val="HeaderChar"/>
    <w:uiPriority w:val="99"/>
    <w:unhideWhenUsed/>
    <w:rsid w:val="007A0BB2"/>
    <w:pPr>
      <w:tabs>
        <w:tab w:val="center" w:pos="4153"/>
        <w:tab w:val="right" w:pos="8306"/>
      </w:tabs>
    </w:pPr>
  </w:style>
  <w:style w:type="character" w:customStyle="1" w:styleId="HeaderChar">
    <w:name w:val="Header Char"/>
    <w:basedOn w:val="DefaultParagraphFont"/>
    <w:link w:val="Header"/>
    <w:uiPriority w:val="99"/>
    <w:rsid w:val="007A0BB2"/>
    <w:rPr>
      <w:rFonts w:ascii="Times New Roman" w:eastAsia="Times New Roman" w:hAnsi="Times New Roman" w:cs="Times New Roman"/>
      <w:sz w:val="24"/>
      <w:szCs w:val="24"/>
      <w:lang w:eastAsia="lv-LV"/>
    </w:rPr>
  </w:style>
  <w:style w:type="paragraph" w:styleId="BalloonText">
    <w:name w:val="Balloon Text"/>
    <w:basedOn w:val="Normal"/>
    <w:link w:val="BalloonTextChar"/>
    <w:uiPriority w:val="99"/>
    <w:semiHidden/>
    <w:unhideWhenUsed/>
    <w:rsid w:val="007A0BB2"/>
    <w:rPr>
      <w:rFonts w:ascii="Tahoma" w:hAnsi="Tahoma" w:cs="Tahoma"/>
      <w:sz w:val="16"/>
      <w:szCs w:val="16"/>
    </w:rPr>
  </w:style>
  <w:style w:type="character" w:customStyle="1" w:styleId="BalloonTextChar">
    <w:name w:val="Balloon Text Char"/>
    <w:basedOn w:val="DefaultParagraphFont"/>
    <w:link w:val="BalloonText"/>
    <w:uiPriority w:val="99"/>
    <w:semiHidden/>
    <w:rsid w:val="007A0BB2"/>
    <w:rPr>
      <w:rFonts w:ascii="Tahoma" w:eastAsia="Times New Roman" w:hAnsi="Tahoma" w:cs="Tahoma"/>
      <w:sz w:val="16"/>
      <w:szCs w:val="16"/>
      <w:lang w:eastAsia="lv-LV"/>
    </w:rPr>
  </w:style>
  <w:style w:type="paragraph" w:styleId="NoSpacing">
    <w:name w:val="No Spacing"/>
    <w:link w:val="NoSpacingChar"/>
    <w:uiPriority w:val="1"/>
    <w:qFormat/>
    <w:rsid w:val="007A0BB2"/>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A0BB2"/>
    <w:rPr>
      <w:rFonts w:eastAsiaTheme="minorEastAsia"/>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legaltext.ee/et/andmebaas/tekst.asp?loc=text&amp;dok=X60027K5&amp;pg=1&amp;tyyp=X&amp;query=kriminaalmenetluse&amp;ptyyp=RT&amp;keel=en" TargetMode="External"/><Relationship Id="rId13" Type="http://schemas.openxmlformats.org/officeDocument/2006/relationships/hyperlink" Target="http://www.politika.lv/index.php.?id=2439%20(apl&#363;kots" TargetMode="External"/><Relationship Id="rId18" Type="http://schemas.openxmlformats.org/officeDocument/2006/relationships/image" Target="media/image3.jpe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www.iuscomp.org/gla/statutes/StPO.htm" TargetMode="External"/><Relationship Id="rId12" Type="http://schemas.openxmlformats.org/officeDocument/2006/relationships/hyperlink" Target="http://www.politika.lv/index.php.?id=4745%20(apl&#363;kots" TargetMode="External"/><Relationship Id="rId17"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image" Target="media/image1.jpeg"/><Relationship Id="rId20" Type="http://schemas.openxmlformats.org/officeDocument/2006/relationships/image" Target="media/image5.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likumi.lv/doc.php?id=57980"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tas.gov.lv/index.php/lv/29/58/244/index.html" TargetMode="External"/><Relationship Id="rId23" Type="http://schemas.openxmlformats.org/officeDocument/2006/relationships/fontTable" Target="fontTable.xml"/><Relationship Id="rId10" Type="http://schemas.openxmlformats.org/officeDocument/2006/relationships/hyperlink" Target="http://www.coecidriga.lv/tulkojumi/5.htm" TargetMode="External"/><Relationship Id="rId19"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hyperlink" Target="http://www.tm.lt/?item=taktei_list&amp;aktoid=53756" TargetMode="External"/><Relationship Id="rId14" Type="http://schemas.openxmlformats.org/officeDocument/2006/relationships/hyperlink" Target="http://www.politika.lv/index.php.?id=4745%20(apl&#363;kots"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legaltext.ee/et/andmebaas/tekst.asp?loc=text&amp;dok=X60027K5&amp;pg=1&amp;tyyp=X&amp;query=kriminaalmenetluse&amp;ptyyp=RT&amp;keel=en" TargetMode="External"/><Relationship Id="rId3" Type="http://schemas.openxmlformats.org/officeDocument/2006/relationships/hyperlink" Target="http://www.iuscomp.org/gla/statutes/StPO.htm" TargetMode="External"/><Relationship Id="rId7" Type="http://schemas.openxmlformats.org/officeDocument/2006/relationships/hyperlink" Target="http://www.iuscomp.org/gla/statutes/StPO.htm" TargetMode="External"/><Relationship Id="rId2" Type="http://schemas.openxmlformats.org/officeDocument/2006/relationships/hyperlink" Target="http://www.legaltext.ee/et/andmebaas/tekst.asp?loc=text&amp;dok=X60027K5&amp;pg=1&amp;tyyp=X&amp;query=kriminaalmenetluse&amp;ptyyp=RT&amp;keel=en" TargetMode="External"/><Relationship Id="rId1" Type="http://schemas.openxmlformats.org/officeDocument/2006/relationships/hyperlink" Target="http://www.tm.lt/?item=taktei_list&amp;aktoid=53756" TargetMode="External"/><Relationship Id="rId6" Type="http://schemas.openxmlformats.org/officeDocument/2006/relationships/hyperlink" Target="http://www.politika.lv/index.php.?id=4745%20(apl&#363;kots" TargetMode="External"/><Relationship Id="rId5" Type="http://schemas.openxmlformats.org/officeDocument/2006/relationships/hyperlink" Target="http://www.politika.lv/index.php.?id=2439%20(apl&#363;kots" TargetMode="External"/><Relationship Id="rId4" Type="http://schemas.openxmlformats.org/officeDocument/2006/relationships/hyperlink" Target="http://www.politika.lv/index.php.?id=4745%20(apl&#363;ko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71</Pages>
  <Words>98755</Words>
  <Characters>56291</Characters>
  <Application>Microsoft Office Word</Application>
  <DocSecurity>0</DocSecurity>
  <Lines>469</Lines>
  <Paragraphs>309</Paragraphs>
  <ScaleCrop>false</ScaleCrop>
  <Company/>
  <LinksUpToDate>false</LinksUpToDate>
  <CharactersWithSpaces>154737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Aivo Leimanis</dc:creator>
  <cp:lastModifiedBy>Aivo Leimanis</cp:lastModifiedBy>
  <cp:revision>1</cp:revision>
  <dcterms:created xsi:type="dcterms:W3CDTF">2009-01-05T12:29:00Z</dcterms:created>
  <dcterms:modified xsi:type="dcterms:W3CDTF">2009-01-05T12:29:00Z</dcterms:modified>
</cp:coreProperties>
</file>